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86R3277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H.B.</w:t>
      </w:r>
      <w:r xml:space="preserve">
        <w:t> </w:t>
      </w:r>
      <w:r>
        <w:t xml:space="preserve">No.</w:t>
      </w:r>
      <w:r xml:space="preserve">
        <w:t> </w:t>
      </w:r>
      <w:r>
        <w:t xml:space="preserve">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the offense of sexual assault; enhancing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22.011(e)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(a)(2):</w:t>
      </w:r>
    </w:p>
    <w:p w:rsidR="003F3435" w:rsidRDefault="0032493E">
      <w:pPr>
        <w:spacing w:line="480" w:lineRule="auto"/>
        <w:ind w:firstLine="1440"/>
        <w:jc w:val="both"/>
      </w:pPr>
      <w:r>
        <w:t xml:space="preserve">(1)</w:t>
      </w:r>
      <w:r xml:space="preserve">
        <w:t> </w:t>
      </w:r>
      <w:r xml:space="preserve">
        <w:t> </w:t>
      </w:r>
      <w:r>
        <w:t xml:space="preserve">that the actor was the spouse of the child at the time of the offense;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actor was not more than three years older than the victim and at the time of the offense:</w:t>
      </w:r>
    </w:p>
    <w:p w:rsidR="003F3435" w:rsidRDefault="0032493E">
      <w:pPr>
        <w:spacing w:line="480" w:lineRule="auto"/>
        <w:ind w:firstLine="2880"/>
        <w:jc w:val="both"/>
      </w:pPr>
      <w:r>
        <w:t xml:space="preserve">(i)</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880"/>
        <w:jc w:val="both"/>
      </w:pPr>
      <w:r>
        <w:t xml:space="preserve">(ii)</w:t>
      </w:r>
      <w:r xml:space="preserve">
        <w:t> </w:t>
      </w:r>
      <w:r xml:space="preserve">
        <w:t> </w:t>
      </w:r>
      <w:r>
        <w:t xml:space="preserve">was not a person who under Chapter 62, Code of Criminal Procedure, had a reportable conviction or adjudication for an offense under this section; and</w:t>
      </w:r>
    </w:p>
    <w:p w:rsidR="003F3435" w:rsidRDefault="0032493E">
      <w:pPr>
        <w:spacing w:line="480" w:lineRule="auto"/>
        <w:ind w:firstLine="2160"/>
        <w:jc w:val="both"/>
      </w:pPr>
      <w:r>
        <w:t xml:space="preserve">(B)</w:t>
      </w:r>
      <w:r xml:space="preserve">
        <w:t> </w:t>
      </w:r>
      <w:r xml:space="preserve">
        <w:t> </w:t>
      </w:r>
      <w:r>
        <w:t xml:space="preserve">the victim:</w:t>
      </w:r>
    </w:p>
    <w:p w:rsidR="003F3435" w:rsidRDefault="0032493E">
      <w:pPr>
        <w:spacing w:line="480" w:lineRule="auto"/>
        <w:ind w:firstLine="2880"/>
        <w:jc w:val="both"/>
      </w:pPr>
      <w:r>
        <w:t xml:space="preserve">(i)</w:t>
      </w:r>
      <w:r xml:space="preserve">
        <w:t> </w:t>
      </w:r>
      <w:r xml:space="preserve">
        <w:t> </w:t>
      </w:r>
      <w:r>
        <w:t xml:space="preserve">was a child of 14 years of age or older; and</w:t>
      </w:r>
    </w:p>
    <w:p w:rsidR="003F3435" w:rsidRDefault="0032493E">
      <w:pPr>
        <w:spacing w:line="480" w:lineRule="auto"/>
        <w:ind w:firstLine="2880"/>
        <w:jc w:val="both"/>
      </w:pPr>
      <w:r>
        <w:t xml:space="preserve">(ii)</w:t>
      </w:r>
      <w:r xml:space="preserve">
        <w:t> </w:t>
      </w:r>
      <w:r xml:space="preserve">
        <w:t> </w:t>
      </w:r>
      <w:r>
        <w:t xml:space="preserve">was not</w:t>
      </w:r>
      <w:r>
        <w:rPr>
          <w:u w:val="single"/>
        </w:rPr>
        <w:t xml:space="preserve">:</w:t>
      </w:r>
    </w:p>
    <w:p w:rsidR="003F3435" w:rsidRDefault="0032493E">
      <w:pPr>
        <w:spacing w:line="480" w:lineRule="auto"/>
        <w:ind w:firstLine="3600"/>
        <w:jc w:val="both"/>
      </w:pPr>
      <w:r>
        <w:rPr>
          <w:u w:val="single"/>
        </w:rPr>
        <w:t xml:space="preserve">(a)</w:t>
      </w:r>
      <w:r xml:space="preserve">
        <w:t> </w:t>
      </w:r>
      <w:r xml:space="preserve">
        <w:t> </w:t>
      </w:r>
      <w:r>
        <w:t xml:space="preserve">a person whom the actor was prohibited from marrying or purporting to marry or with whom the actor was prohibited from living under the appearance of being married under Section 25.01</w:t>
      </w:r>
      <w:r>
        <w:rPr>
          <w:u w:val="single"/>
        </w:rPr>
        <w:t xml:space="preserve">;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person with whom the actor was prohibited from engaging in sexual intercourse or deviate sexual intercourse under Section 25.02</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except that an offense under this section is a felony of the first degree if the victim was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person whom the actor was prohibited from marrying or purporting to marry or with whom the actor was prohibited from living under the appearance of being married under Section 25.01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with whom the actor was prohibited from engaging in sexual intercourse or deviate sexual intercourse under Section 25.02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