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by a school district for the purchase of attendance credits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41.094,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school district shall pay for credits purchased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equal monthly payments as determined by the commissioner beginning February 15 and ending August 15 of the school year for which the agreement is in effect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one payment for the total amount required to be paid by the district not later than August 15 of the school year for which the agreement is in effect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school district elects to pay for credits purchased in the manner provided by Subsection (a)(2), the district must notify the commissioner not later than February 15 of the school year for which the agreement is in effect.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