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86R5440 JTS-F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Wray</w:t>
      </w:r>
      <w:r xml:space="preserve">
        <w:tab wTab="150" tlc="none" cTlc="0"/>
      </w:r>
      <w:r>
        <w:t xml:space="preserve">H.B.</w:t>
      </w:r>
      <w:r xml:space="preserve">
        <w:t> </w:t>
      </w:r>
      <w:r>
        <w:t xml:space="preserve">No.</w:t>
      </w:r>
      <w:r xml:space="preserve">
        <w:t> </w:t>
      </w:r>
      <w:r>
        <w:t xml:space="preserve">709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private activity bonds to finance high-speed rail service.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1372, Government Code, is amended by adding Section 1372.007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1372.007.</w:t>
      </w:r>
      <w:r>
        <w:rPr>
          <w:u w:val="single"/>
        </w:rPr>
        <w:t xml:space="preserve"> </w:t>
      </w:r>
      <w:r>
        <w:rPr>
          <w:u w:val="single"/>
        </w:rPr>
        <w:t xml:space="preserve"> </w:t>
      </w:r>
      <w:r>
        <w:rPr>
          <w:u w:val="single"/>
        </w:rPr>
        <w:t xml:space="preserve">PROHIBITED USE OF BONDS: HIGH-SPEED RAIL.  Notwithstanding any other provision of this chapter, private activity bonds may not be issued to  finance, wholly or partly, the construction of facilities for or the operation of high-speed rail service between two municipalities in this state that is capable of operating at speeds greater than 100 miles per hour.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