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86R3471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718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food and beverages available from a vending machine located on property used by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2203, Government Code, is amended by adding Section 2203.006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2203.006.</w:t>
      </w:r>
      <w:r>
        <w:rPr>
          <w:u w:val="single"/>
        </w:rPr>
        <w:t xml:space="preserve"> </w:t>
      </w:r>
      <w:r>
        <w:rPr>
          <w:u w:val="single"/>
        </w:rPr>
        <w:t xml:space="preserve"> </w:t>
      </w:r>
      <w:r>
        <w:rPr>
          <w:u w:val="single"/>
        </w:rPr>
        <w:t xml:space="preserve">STANDARDS FOR VENDING MACHINE FOOD AND BEVERAGES.  (a) In this section, "executive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food and beverages offered in a vending machine that is located on property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owned by the state and under the charge and control of a state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leased by the state for the use of a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Food and beverages to which this section applies must meet minimum nutrition standards adopted by rule by the executive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minimum nutrition standards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food offered in a vending machine: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zero grams of trans fatty acids per serving, as defined by the United States Food and Drug Administration;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not more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230 milligrams of sodium per serving if the food is not a refrigerated meal or other individual meal item;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480 milligrams of sodium per serving if the food is a refrigerated meal or other individual meal item;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half of the beverage choices offered in a vending machine, excluding unsweetened milk and 100 percent juice, contain less than 40 calories per serving;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milk offered is two percent, one percent, or nonfat;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juice is offered, at least one offering is 100 percent juice with no added sweetener;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vegetable juice offered contains not more than 230 milligrams of sodium per serving.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minimum nutrition standards required under Subsection (d)(1), at least 25 percent of packaged foods that are offered in a vending machine, other than nuts and seeds that do not have added fats, oils, or sweeteners,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calorie content made up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more than 10 percent saturated fat;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35 percent sugars, excluding fruits and vegetables without added sweeteners;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less than 200 calories.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vending machine to which this section applies must display the total calorie content for each item offered.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 at least every five years, review and, if necessary, update the minimum nutrition standards adopted under this section. In reviewing the standards, the executive commissioner shall consider advancements in nutrition science, dietary data, new product availability, and updates to the Dietary Guidelines for Americans, as published by the United States Department of Agriculture and the United States Department of Health and Human Services.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with a vendor for operation of a vending machine to which this section applies must include a provision requiring the vendor to offer food and beverages that meet the minimum nutrition standards adopted by the executive commissioner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statewide wellness coordinator designated under Section 664.053 shall provide information and resources to state agencies to promote state employee wellness through implementing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September 1, 2020, the executive commissioner of the Health and Human Services Commission shall adopt rules to establish minimum nutrition standards under Section 2203.006, Government Code, as added by this Act.</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a state agency is not required to comply with Section 2203.006, Government Code, as added by this Act, until September 1, 2021.</w:t>
      </w:r>
    </w:p>
    <w:p w:rsidR="003F3435" w:rsidRDefault="0032493E">
      <w:pPr>
        <w:spacing w:line="480" w:lineRule="auto"/>
        <w:ind w:firstLine="720"/>
        <w:jc w:val="both"/>
      </w:pPr>
      <w:r>
        <w:t xml:space="preserve">(c)</w:t>
      </w:r>
      <w:r xml:space="preserve">
        <w:t> </w:t>
      </w:r>
      <w:r xml:space="preserve">
        <w:t> </w:t>
      </w:r>
      <w:r>
        <w:t xml:space="preserve">Section 2203.006(h), Government Code, as added by this Act, applies only to a contract for vending machine services for which a state agency first advertises or otherwise solicits bids, proposals, offers, or qualifications on or after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