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723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Water &amp; Rural Affairs; April</w:t>
      </w:r>
      <w:r xml:space="preserve">
        <w:t> </w:t>
      </w:r>
      <w:r>
        <w:t xml:space="preserve">26,</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723</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requirement that the Texas Commission on Environmental Quality obtain or develop updated water availability models for certain river basins.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16.012, Water Code,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 later than December 1, 2022, the commission shall obtain or develop updated water availability models for the Brazos River, Neches River, Red River, and Rio Grande river basins.  The commission may collect data from all jurisdictions that allocate the waters of the rivers, including jurisdictions outside this state. </w:t>
      </w:r>
      <w:r>
        <w:rPr>
          <w:u w:val="single"/>
        </w:rPr>
        <w:t xml:space="preserve"> </w:t>
      </w:r>
      <w:r>
        <w:rPr>
          <w:u w:val="single"/>
        </w:rPr>
        <w:t xml:space="preserve">This subsection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Commission on Environmental Quality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