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86R5534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728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litigation involving certain defects in school district instructional facilities and enforcement of certain duties following that litigation;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46.0111, Education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A school district that brings an action for recovery of damages for the defective design, construction, renovation, or improvement of an instructional facility financed by bonds for which the district receives state assistance under this subchapter shall provide the commissioner with written notice of the action</w:t>
      </w:r>
      <w:r>
        <w:rPr>
          <w:u w:val="single"/>
        </w:rPr>
        <w:t xml:space="preserve">, including a copy of the petition, by registered or certified mail, return receipt requested, not later than the 10th day after the date the action is filed</w:t>
      </w:r>
      <w:r>
        <w:t xml:space="preserve">.  </w:t>
      </w:r>
      <w:r>
        <w:rPr>
          <w:u w:val="single"/>
        </w:rPr>
        <w:t xml:space="preserve">If the school district fails to comply with this subsection, the court or an arbitrator or other adjudicating authority shall dismiss the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provide to the commissioner an itemized accounting of any repairs made under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46, Education Code, is amended by adding Section 46.0112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46.0112.</w:t>
      </w:r>
      <w:r>
        <w:rPr>
          <w:u w:val="single"/>
        </w:rPr>
        <w:t xml:space="preserve"> </w:t>
      </w:r>
      <w:r>
        <w:rPr>
          <w:u w:val="single"/>
        </w:rPr>
        <w:t xml:space="preserve"> </w:t>
      </w:r>
      <w:r>
        <w:rPr>
          <w:u w:val="single"/>
        </w:rPr>
        <w:t xml:space="preserve">ATTORNEY GENERAL ENFORCEMENT OF SCHOOL DISTRICT DUTIES FOLLOWING CERTAIN ACTIONS; REPORT.  (a)  If the attorney general believes that a school district has violated or is violating Section 46.0111(d) or (e), the attorney general may bring an action on behalf of the state to enjoin the school district from violating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Subsection (a), the attorney general may request and the court may order any other appropriate relief that is in the public interest, including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penalty in an amount not to exceed $50,000 for each violation of Section 46.0111(d) or (e);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general's reasonable costs for investigating and prosecuting the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the state's share under Section 46.0111(e).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attorney general shall submit to the governor, the lieutenant governor, the members of the legislature, and the commissioner a report on any actions brought under this section during the preceding year. </w:t>
      </w:r>
      <w:r>
        <w:rPr>
          <w:u w:val="single"/>
        </w:rPr>
        <w:t xml:space="preserve"> </w:t>
      </w:r>
      <w:r>
        <w:rPr>
          <w:u w:val="single"/>
        </w:rPr>
        <w:t xml:space="preserve">The report must include the following information for each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district that is the subject of the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court in which the action was brought.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46.0111(b), Education Code, as amended by this Act, applies only to an action brought on or after the effective date of this Act.  An action brought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