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734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concealed or holstered handguns by certain handgun license holders attending a meeting of the board of trustees of a school district or the governing body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 Penal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It is a defense to prosecution under Subsection (a)(1) that at the time of the commission of the offense the actor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in a concealed manner or in a shoulder or belt holster a handgun that the person was licensed to carry under Subchapter H, Chapter 411,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attending a meeting of the board of trustees of a school district or the governing body of an open-enrollment charter school in an official capacity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board or governing body;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superintendent of the school district or charter school or another person serving in a similar capacity.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46.035, Penal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It is a defense to prosecution under Subsection (c) that at the time of the commission of the offense the actor was attending a meeting of the board of trustees of a school district or the governing body of an open-enrollment charter school in an official capacity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board or governing body;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superintendent of the school district or charter school or another person serving in a similar capacity.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