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86R21096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737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737:</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w:t>
      </w:r>
      <w:r>
        <w:rPr>
          <w:u w:val="single"/>
        </w:rPr>
        <w:t xml:space="preserve"> </w:t>
      </w:r>
      <w:r>
        <w:rPr>
          <w:u w:val="single"/>
        </w:rPr>
        <w:t xml:space="preserve">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w:t>
      </w:r>
      <w:r>
        <w:rPr>
          <w:u w:val="single"/>
        </w:rPr>
        <w:t xml:space="preserve"> </w:t>
      </w:r>
      <w:r>
        <w:rPr>
          <w:u w:val="single"/>
        </w:rPr>
        <w:t xml:space="preserve">(a) </w:t>
      </w:r>
      <w:r>
        <w:rPr>
          <w:u w:val="single"/>
        </w:rPr>
        <w:t xml:space="preserve"> </w:t>
      </w:r>
      <w:r>
        <w:rPr>
          <w:u w:val="single"/>
        </w:rPr>
        <w:t xml:space="preserve">In this section, "retired classroom teacher"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formerly employed as a classroom teacher, as that term is defined by Section 5.001,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retiree of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