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of certain bond conditions into the Texas Crime Information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17.50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17.50.</w:t>
      </w:r>
      <w:r>
        <w:rPr>
          <w:u w:val="single"/>
        </w:rPr>
        <w:t xml:space="preserve"> </w:t>
      </w:r>
      <w:r>
        <w:rPr>
          <w:u w:val="single"/>
        </w:rPr>
        <w:t xml:space="preserve"> </w:t>
      </w:r>
      <w:r>
        <w:rPr>
          <w:u w:val="single"/>
        </w:rPr>
        <w:t xml:space="preserve">ENTRY OF BOND CONDITIONS INTO TEXAS CRIME INFORMATION CENTER; DUTIES OF MAGISTRATES, SHERIFFS, AND DEPARTMENT OF PUBLIC SAFETY. (a) In this article, "database" means the statewide law enforcement information system maintained by the Department of Public Safety, also known as the Texas Crime Information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possible but not later than the next business day after the date a magistrate imposes a condition of bond on an arrested person under this chapter, the magistrate shall notify the sheriff of the condition and provide to the sheriff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sex, race, date of birth, personal descriptors, address, and county of residence of the person on whom the condition of bond is imposed;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on whom the condition of bond is imposed, including the person's social security number or driver's license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and county of residence of any named person the condition of bond is intended to protect, and if different and applicable, the name and county of residence of the victim of the alleged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condition of bond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information described by Subsection (b), the sheriff shall enter the information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possible but not later than the next business day after the date a magistrate revokes a bond that contains a condition, modifies the terms of or removes a condition of bond, or disposes of the underlying criminal charges in the case, the magistrate shall notify the sheriff and provide the sheriff with information that is sufficient to enable the sheriff to update the database accordingly.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shall modify the database to enable the database to accept and maintain detailed information regarding the requirements and status of a condition of bond imposed by a magistrate, including information described by Subsections (b)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article does not apply to a condition of bond imposed under Article 17.441.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modify the statewide law enforcement information system maintained by the department, also known as the Texas Crime Information Center, to enable the database to accept and maintain detailed information regarding the requirements and status of a condition of bond imposed by a magistrate, as required by Article 17.50(e),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