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86R3017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H.B.</w:t>
      </w:r>
      <w:r xml:space="preserve">
        <w:t> </w:t>
      </w:r>
      <w:r>
        <w:t xml:space="preserve">No.</w:t>
      </w:r>
      <w:r xml:space="preserve">
        <w:t> </w:t>
      </w:r>
      <w:r>
        <w:t xml:space="preserve">741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notice of rights provided to an injured employee under the Texas workers' compensation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404.109, Labor Code, is amended to read as follows:</w:t>
      </w:r>
    </w:p>
    <w:p w:rsidR="003F3435" w:rsidRDefault="0032493E">
      <w:pPr>
        <w:spacing w:line="480" w:lineRule="auto"/>
        <w:ind w:firstLine="720"/>
        <w:jc w:val="both"/>
      </w:pPr>
      <w:r>
        <w:t xml:space="preserve">Sec.</w:t>
      </w:r>
      <w:r xml:space="preserve">
        <w:t> </w:t>
      </w:r>
      <w:r>
        <w:t xml:space="preserve">404.109.</w:t>
      </w:r>
      <w:r xml:space="preserve">
        <w:t> </w:t>
      </w:r>
      <w:r xml:space="preserve">
        <w:t> </w:t>
      </w:r>
      <w:r>
        <w:t xml:space="preserve">INJURED EMPLOYEE RIGHTS; NOTICE.  </w:t>
      </w:r>
      <w:r>
        <w:rPr>
          <w:u w:val="single"/>
        </w:rPr>
        <w:t xml:space="preserve">(a)</w:t>
      </w:r>
      <w:r>
        <w:t xml:space="preserve"> </w:t>
      </w:r>
      <w:r>
        <w:t xml:space="preserve"> </w:t>
      </w:r>
      <w:r>
        <w:t xml:space="preserve">The public counsel shall adopt, in the form and manner prescribed by the public counsel and after consultation with the commissioner of workers' compensation, a notice of injured employee rights and responsibilities to be distributed by the division as provided by commissioner or commissioner of insurance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adopted under Subsection (a) must inform an injured employee that the employee has the right to choose a treating doctor, including a doctor of medicine, osteopathic medicine, optometry, dentistry, podiatry, or chiropractic who is licensed and authorized to practice.</w:t>
      </w:r>
    </w:p>
    <w:p w:rsidR="003F3435" w:rsidRDefault="0032493E">
      <w:pPr>
        <w:spacing w:line="480" w:lineRule="auto"/>
        <w:ind w:firstLine="720"/>
        <w:jc w:val="both"/>
      </w:pPr>
      <w:r>
        <w:rPr>
          <w:u w:val="single"/>
        </w:rPr>
        <w:t xml:space="preserve">(c)</w:t>
      </w:r>
      <w:r xml:space="preserve">
        <w:t> </w:t>
      </w:r>
      <w:r xml:space="preserve">
        <w:t> </w:t>
      </w:r>
      <w:r>
        <w:t xml:space="preserve">A right or responsibility </w:t>
      </w:r>
      <w:r>
        <w:rPr>
          <w:u w:val="single"/>
        </w:rPr>
        <w:t xml:space="preserve">included in the notice</w:t>
      </w:r>
      <w:r>
        <w:t xml:space="preserve"> adopted under </w:t>
      </w:r>
      <w:r>
        <w:rPr>
          <w:u w:val="single"/>
        </w:rPr>
        <w:t xml:space="preserve">Subsection (a)</w:t>
      </w:r>
      <w:r>
        <w:t xml:space="preserve"> [</w:t>
      </w:r>
      <w:r>
        <w:rPr>
          <w:strike/>
        </w:rPr>
        <w:t xml:space="preserve">this section</w:t>
      </w:r>
      <w:r>
        <w:t xml:space="preserve">] must be consistent with the requirements of this subtitle and division rules.</w:t>
      </w:r>
    </w:p>
    <w:p w:rsidR="003F3435" w:rsidRDefault="0032493E">
      <w:pPr>
        <w:spacing w:line="480" w:lineRule="auto"/>
        <w:ind w:firstLine="720"/>
        <w:jc w:val="both"/>
      </w:pPr>
      <w:r>
        <w:rPr>
          <w:u w:val="single"/>
        </w:rPr>
        <w:t xml:space="preserve">(d)</w:t>
      </w:r>
      <w:r xml:space="preserve">
        <w:t> </w:t>
      </w:r>
      <w:r xml:space="preserve">
        <w:t> </w:t>
      </w:r>
      <w:r>
        <w:t xml:space="preserve">This section may not be construed as establishing an entitlement to benefits to which the claimant is not otherwise entitled under this subtitle.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public counsel of the office of injured employee counsel shall adopt the notice required under Section 404.109, Labor Code, as amended by this Act, not later than December 1, 2019.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