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86R3356 JTS-F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Davis of Dallas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742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railroad crew size requirements; imposing a civil penalty.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C, Chapter 112, Transportation Code, is amended by adding Section 112.104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112.104.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MINIMUM CREW REQUIREMENTS.  (a) </w:t>
      </w:r>
      <w:r>
        <w:rPr>
          <w:u w:val="single"/>
        </w:rPr>
        <w:t xml:space="preserve"> </w:t>
      </w:r>
      <w:r>
        <w:rPr>
          <w:u w:val="single"/>
        </w:rPr>
        <w:t xml:space="preserve">A railroad company may not operate in connection with the movement of freight a train or light engine with fewer than two crew members. For the purposes of this subsection, a railroad utility employee is not considered a crew member.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Subsection (a) does not apply to the operation of a train or light engine for hostler service.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railroad company that violates this section is liable to the state for a civil penalty of: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 less than $250 or more than $1,000 for a first violation;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 less than $1,000 or more than $5,000 for a second violation in a period of three years or less;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 less than $5,000 or more than $10,000 for a third or subsequent violation in a period of three years or less.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Suit for a civil penalty under Subsection (c) may be brought in Travis County or in any county in or through which the railroad is operated, by:</w:t>
      </w:r>
      <w:r>
        <w:t xml:space="preserve"> 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attorney general or an attorney acting under the direction of the attorney general;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county or district attorney in any county in or through which the railroad is operated.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742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