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affirmative defense to the offense of operating a vehicle without displaying two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504.943, Transportation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It is an affirmative defense to prosecution under Subsection (a) for failure to display a license plate at the front of a vehicle that the vehicle: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equipped with driving sensors the functioning of which would be impaired by the display of a front license plate;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equipped by the manufacturer with a mounting plate for a front license plate.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