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86R2251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theft involving a package delivered to or collected from a residential or commercial property;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 Penal Code, is amended by adding Subsection (d-1) and amending Subsection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It is not a defense to prosecution of an offense punishable under Subsection (e)(4)(G) that the package is addressed to a person who is not the owner of the residential or commercial property from which the package was stolen.</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stolen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 </w:t>
      </w:r>
      <w:r>
        <w:rPr>
          <w:u w:val="single"/>
        </w:rPr>
        <w:t xml:space="preserve">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value of the property stolen is less than $30,000 and the property is a package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delivered by a common carrier but not yet received by the addressee or has been left to be collected for delivery by a common carrier;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stolen from a residential or commercial property, including the driveway, porch, front door, or any other area of the property;</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31.03(h), Penal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"Package"</w:t>
      </w:r>
      <w:r>
        <w:rPr>
          <w:u w:val="single"/>
        </w:rPr>
        <w:t xml:space="preserve"> </w:t>
      </w:r>
      <w:r>
        <w:rPr>
          <w:u w:val="single"/>
        </w:rPr>
        <w:t xml:space="preserve">means a box, container, bag, or other sealed article holding a good or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