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86R1360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permanent preservation of birth certificates on microfiche, microfilm, or electronic storage media.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191.032,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state registrar shall arrange and permanently preserve birth certificates for births occurring on or after January 1, 2017, on microfiche, microfilm, or an electronic storage media.  After transferring a birth certificate onto microfiche, microfilm, or an electronic storage media as required by this subsection, the state registrar shall destroy the original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