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86R1355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764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sexual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he exercises control in his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securing execution of document by deception;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Medicaid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1440"/>
        <w:jc w:val="both"/>
      </w:pPr>
      <w:r>
        <w:t xml:space="preserve">(7)</w:t>
      </w:r>
      <w:r xml:space="preserve">
        <w:t> </w:t>
      </w:r>
      <w:r xml:space="preserve">
        <w:t> </w:t>
      </w:r>
      <w:r>
        <w:t xml:space="preserve">three years from the date of the commission of the offense:</w:t>
      </w:r>
      <w:r xml:space="preserve">
        <w:t> </w:t>
      </w:r>
      <w:r xml:space="preserve">
        <w:t>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aggravated assault; and</w:t>
      </w:r>
    </w:p>
    <w:p w:rsidR="003F3435" w:rsidRDefault="0032493E">
      <w:pPr>
        <w:spacing w:line="480" w:lineRule="auto"/>
        <w:ind w:firstLine="2160"/>
        <w:jc w:val="both"/>
      </w:pPr>
      <w:r>
        <w:rPr>
          <w:u w:val="single"/>
        </w:rPr>
        <w:t xml:space="preserve">(B)</w:t>
      </w:r>
      <w:r xml:space="preserve">
        <w:t> </w:t>
      </w:r>
      <w:r xml:space="preserve">
        <w:t> </w:t>
      </w:r>
      <w:r>
        <w:t xml:space="preserve">all other felonies </w:t>
      </w:r>
      <w:r>
        <w:rPr>
          <w:u w:val="single"/>
        </w:rPr>
        <w:t xml:space="preserve">not otherwise specified by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12.03(d), Code of Criminal Procedure,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Any</w:t>
      </w:r>
      <w:r>
        <w:t xml:space="preserve"> </w:t>
      </w:r>
      <w:r>
        <w:t xml:space="preserve">[</w:t>
      </w:r>
      <w:r>
        <w:rPr>
          <w:strike/>
        </w:rPr>
        <w:t xml:space="preserve">Except as otherwise provided by this chapter, any</w:t>
      </w:r>
      <w:r>
        <w:t xml:space="preserve">] offense that bears the title "aggravated" shall carry the same limitation period as the primary crime </w:t>
      </w:r>
      <w:r>
        <w:rPr>
          <w:u w:val="single"/>
        </w:rPr>
        <w:t xml:space="preserve">if a limitation period has not otherwise been specifically provided for the aggravated offense under another provision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