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86R1351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765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limits in a health care liability claim.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74.301, Civil Practice and Remedies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When there is an increase or decrease in the consumer price index with respect to the amount of that index on September 1, 2003, the liability limits prescribed by this section shall be increased or decreased, as applicable, by a sum equal to the amount of such limit multiplied by the percentage increase or decrease in the consumer price index, as published by the Bureau of Labor Statistics of the United States Department of Labor, that measures the average changes in prices of goods and services purchased by urban wage earners and clerical workers' families and single workers living alone (CPI-W:  Seasonally Adjusted U.S. City Average--All Items), between September 1, 2003, and the time at which damages subject to such limits are awarded by final judgment or settlement.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74.302, Civil Practice and Remedies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When there is an increase or decrease in the consumer price index with respect to the amount of that index on September 1, 2003, the liability limits and financial responsibility amounts prescribed by this section shall be increased or decreased, as applicable, by a sum equal to the amount of such limit multiplied by the percentage increase or decrease in the consumer price index, as published by the Bureau of Labor Statistics of the United States Department of Labor, that measures the average changes in prices of goods and services purchased by urban wage earners and clerical workers' families and single workers living alone (CPI-W:  Seasonally Adjusted U.S. City Average--All Items), between September 1, 2003, and the time at which damages subject to such limits are awarded by final judgment or settlement.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74.301 and 74.302, Civil Practice and Remedies Code, as amended by this Act, apply only to a health care liability claim that accrues on or after the effective date of this Act.  A health care liability claim that accrued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