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86R1939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Huberty, 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766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exemptions for disabled peace officers and fire fighters from payment of tuition and fees at public institutions of higher education.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The heading to Section 54.352,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54.352.</w:t>
      </w:r>
      <w:r xml:space="preserve">
        <w:t> </w:t>
      </w:r>
      <w:r xml:space="preserve">
        <w:t> </w:t>
      </w:r>
      <w:r>
        <w:t xml:space="preserve">DISABLED PEACE OFFICERS </w:t>
      </w:r>
      <w:r>
        <w:rPr>
          <w:u w:val="single"/>
        </w:rPr>
        <w:t xml:space="preserve">AND FIRE FIGHTERS</w:t>
      </w:r>
      <w:r>
        <w:t xml:space="preserve"> </w:t>
      </w:r>
      <w:r>
        <w:t xml:space="preserve">[</w:t>
      </w:r>
      <w:r>
        <w:rPr>
          <w:strike/>
        </w:rPr>
        <w:t xml:space="preserve">; OPTIONAL EXEMPTION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Sections 54.352(a), (g), and (h),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governing board of an institution of higher education </w:t>
      </w:r>
      <w:r>
        <w:rPr>
          <w:u w:val="single"/>
        </w:rPr>
        <w:t xml:space="preserve">shall</w:t>
      </w:r>
      <w:r>
        <w:t xml:space="preserve"> [</w:t>
      </w:r>
      <w:r>
        <w:rPr>
          <w:strike/>
        </w:rPr>
        <w:t xml:space="preserve">may</w:t>
      </w:r>
      <w:r>
        <w:t xml:space="preserve">] exempt a student from the payment of tuition and [</w:t>
      </w:r>
      <w:r>
        <w:rPr>
          <w:strike/>
        </w:rPr>
        <w:t xml:space="preserve">required</w:t>
      </w:r>
      <w:r>
        <w:t xml:space="preserve">] fees [</w:t>
      </w:r>
      <w:r>
        <w:rPr>
          <w:strike/>
        </w:rPr>
        <w:t xml:space="preserve">authorized by this chapter</w:t>
      </w:r>
      <w:r>
        <w:t xml:space="preserve">] for a course for which space is available if the student: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a resident of this state and has resided in this state for the 12 months immediately preceding the beginning of the semester or session for which an exemption is sought;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permanently disabled as a result of an injury suffered during the performance of a duty as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a peace officer of this state or a political subdivision of this state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fire fighter, as defined by Section 614.001, Government Code, employed by this state or a political subdivision of this state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is unable to continue employment as a peace officer </w:t>
      </w:r>
      <w:r>
        <w:rPr>
          <w:u w:val="single"/>
        </w:rPr>
        <w:t xml:space="preserve">or fire fighter</w:t>
      </w:r>
      <w:r>
        <w:t xml:space="preserve"> </w:t>
      </w:r>
      <w:r>
        <w:t xml:space="preserve">because of the disability.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(g)</w:t>
      </w:r>
      <w:r xml:space="preserve">
        <w:t> </w:t>
      </w:r>
      <w:r xml:space="preserve">
        <w:t> </w:t>
      </w:r>
      <w:r>
        <w:rPr>
          <w:u w:val="single"/>
        </w:rPr>
        <w:t xml:space="preserve">For the purpose of</w:t>
      </w:r>
      <w:r>
        <w:t xml:space="preserve"> [</w:t>
      </w:r>
      <w:r>
        <w:rPr>
          <w:strike/>
        </w:rPr>
        <w:t xml:space="preserve">In</w:t>
      </w:r>
      <w:r>
        <w:t xml:space="preserve">] this section, </w:t>
      </w:r>
      <w:r>
        <w:rPr>
          <w:u w:val="single"/>
        </w:rPr>
        <w:t xml:space="preserve">an injury is suffered during the performance of a duty as a peace officer if the injury occurs</w:t>
      </w:r>
      <w:r>
        <w:t xml:space="preserve"> [</w:t>
      </w:r>
      <w:r>
        <w:rPr>
          <w:strike/>
        </w:rPr>
        <w:t xml:space="preserve">"injury suffered during the performance of a duty as a peace officer" means an injury occurring</w:t>
      </w:r>
      <w:r>
        <w:t xml:space="preserve">] as a result of the peace officer's performance of any of the following law enforcement duties: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traffic enforcement or traffic control duties, including enforcement of traffic laws, investigation of vehicle accidents, or directing traffic;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pursuit, arrest, or search of a person reasonably believed to have violated a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investigation, including undercover investigation, of a criminal act;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patrol duties, including automobile, bicycle, foot, air, or horse patrol;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duties related to the transfer of prisoners;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training duties, including participation in any training required by the officer's employer or supervisor or by the Texas Commission on Law Enforcement.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For the purpose of this section, a </w:t>
      </w:r>
      <w:r>
        <w:rPr>
          <w:u w:val="single"/>
        </w:rPr>
        <w:t xml:space="preserve">person</w:t>
      </w:r>
      <w:r>
        <w:t xml:space="preserve"> [</w:t>
      </w:r>
      <w:r>
        <w:rPr>
          <w:strike/>
        </w:rPr>
        <w:t xml:space="preserve">peace officer</w:t>
      </w:r>
      <w:r>
        <w:t xml:space="preserve">] is considered permanently disabled only if the chief administrative officer of the law enforcement agency</w:t>
      </w:r>
      <w:r>
        <w:rPr>
          <w:u w:val="single"/>
        </w:rPr>
        <w:t xml:space="preserve">, fire department,</w:t>
      </w:r>
      <w:r>
        <w:t xml:space="preserve"> or other entity that employed the </w:t>
      </w:r>
      <w:r>
        <w:rPr>
          <w:u w:val="single"/>
        </w:rPr>
        <w:t xml:space="preserve">person</w:t>
      </w:r>
      <w:r>
        <w:t xml:space="preserve"> [</w:t>
      </w:r>
      <w:r>
        <w:rPr>
          <w:strike/>
        </w:rPr>
        <w:t xml:space="preserve">officer</w:t>
      </w:r>
      <w:r>
        <w:t xml:space="preserve">] at the time of the injury</w:t>
      </w:r>
      <w:r>
        <w:rPr>
          <w:u w:val="single"/>
        </w:rPr>
        <w:t xml:space="preserve">, as applicable,</w:t>
      </w:r>
      <w:r>
        <w:t xml:space="preserve"> determines the </w:t>
      </w:r>
      <w:r>
        <w:rPr>
          <w:u w:val="single"/>
        </w:rPr>
        <w:t xml:space="preserve">person</w:t>
      </w:r>
      <w:r>
        <w:t xml:space="preserve"> [</w:t>
      </w:r>
      <w:r>
        <w:rPr>
          <w:strike/>
        </w:rPr>
        <w:t xml:space="preserve">officer</w:t>
      </w:r>
      <w:r>
        <w:t xml:space="preserve">] is permanently disabled and satisfies any requirement of an institution under Subsection (e).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The changes in law made by this Act apply to an exemption from tuition and fees beginning with the 2019 fall semester.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766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