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86R349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 of Harris</w:t>
      </w:r>
      <w:r xml:space="preserve">
        <w:tab wTab="150" tlc="none" cTlc="0"/>
      </w:r>
      <w:r>
        <w:t xml:space="preserve">H.B.</w:t>
      </w:r>
      <w:r xml:space="preserve">
        <w:t> </w:t>
      </w:r>
      <w:r>
        <w:t xml:space="preserve">No.</w:t>
      </w:r>
      <w:r xml:space="preserve">
        <w:t> </w:t>
      </w:r>
      <w:r>
        <w:t xml:space="preserve">767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evaluation of and reporting on certain Medicaid waiver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531.021111.</w:t>
      </w:r>
      <w:r>
        <w:rPr>
          <w:u w:val="single"/>
        </w:rPr>
        <w:t xml:space="preserve"> </w:t>
      </w:r>
      <w:r>
        <w:rPr>
          <w:u w:val="single"/>
        </w:rPr>
        <w:t xml:space="preserve"> </w:t>
      </w:r>
      <w:r>
        <w:rPr>
          <w:u w:val="single"/>
        </w:rPr>
        <w:t xml:space="preserve">SECTION 1115 WAIVER PROJECTS: FINAL EVALUATION REPORTS; REPORT TO LEGISLATURE.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1115 waiver program" means a federally funded program of the state under Medicaid that is authorized under Section 1115 of the federal Social Security Act (42 U.S.C. Section 1315).</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"Waiver project" means any experimental, pilot, or demonstration project implemented by an entity other than a state agency and funded, wholly or partly, using federal money received under a Section 1115 waiver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each entity that receives funding to implement a waiver project in this state to, not later than the 30th day after the date the period authorized for the project terminates and regardless of whether the project is continuing for another period, submit a final evaluation report to the commission. A final evaluation report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quantitative research methods involving the empirical investigation of the impact of key programmatic features of the waiver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quantitative designs are technically infeasible or not well suited to the change sought by the waiver project, an alternative design approved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minimize the burden on recipients and project recipient privacy while ensuring the impact of the waiver project is measured;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discuss the hypothesis being tested by the waiver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discuss the data used to conduct the evaluation, including monitoring and reporting conducted during the waiver project and the methods used for collecting the data;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description of how the effects of the waiver project are isolated from other factors that may contribute to the change sought;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any other information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as soon as practicable, but not later than the 30th day after the date the commission receives a final evaluation report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 copy of the report along with the commission's recommendations regarding the continuation of the waiver project to the standing committees of the senate and house of representatives with jurisdiction over Medicaid;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copy of the report available to the public on the commission's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commission's recommendations under Subsection (c)(1)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statement regarding whether the waiver project should be modified in any manner, made permanent,  eliminated, or extended to allow more time for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justification for the recommendations, including a detailed cost-benefit analysis of the waiver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