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86R596 CAE-D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Davis of Harris</w:t>
      </w:r>
      <w:r xml:space="preserve">
        <w:tab wTab="150" tlc="none" cTlc="0"/>
      </w:r>
      <w:r>
        <w:t xml:space="preserve">H.B.</w:t>
      </w:r>
      <w:r xml:space="preserve">
        <w:t> </w:t>
      </w:r>
      <w:r>
        <w:t xml:space="preserve">No.</w:t>
      </w:r>
      <w:r xml:space="preserve">
        <w:t> </w:t>
      </w:r>
      <w:r>
        <w:t xml:space="preserve">769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termination of the contract of a superintendent of a school district based on malfeasance.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E, Chapter 11, Education Code, is amended by adding Section 11.2011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11.2011.</w:t>
      </w:r>
      <w:r>
        <w:rPr>
          <w:u w:val="single"/>
        </w:rPr>
        <w:t xml:space="preserve"> </w:t>
      </w:r>
      <w:r>
        <w:rPr>
          <w:u w:val="single"/>
        </w:rPr>
        <w:t xml:space="preserve"> </w:t>
      </w:r>
      <w:r>
        <w:rPr>
          <w:u w:val="single"/>
        </w:rPr>
        <w:t xml:space="preserve">MALFEASANCE BY SUPERINTENDENT.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"Malfeasance" means intentional misconduct or the knowingly improper performance of any act, duty, or responsibility, including unethical or criminal conduct.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"Severance payment" has the meaning assigned by Section 11.201.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superintendent is terminated by the board of trustees of the school district based on malfeasance, resigns from the position of superintendent to avoid being terminated based on malfeasance, or is terminated or resigns in lieu of termination while under investigation for malfeasance, the board of trustees must receive approval from the commissioner for any severance payment to the superintendent. The board of trustees must include in a request for approval of a severance payment: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school district fund from which the severance payment would be paid, provided that Foundation School Program funds received from the state may not be used;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manner in which the funds would be used if the district did not make the severance payment.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 may not approve a severance payment to a superintendent under Subsection (b) if less than 51 percent of the superintendent's contract is completed.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commissioner may adopt rules as necessary to administer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a severance payment was made before September 1, 2019, to a superintendent who was terminated or resigned based on malfeasance or the investigation of malfeasance, the district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report the severance payment to the commissioner not later than January 1, 2020;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details regarding the manner in which the funds would have been used by the school district if the severance payment had not occurred.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Subsection (e) and this subsection expire September 1, 2020.</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769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