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86R934 CAE-D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an electronic database for settlement agreements for certain suits involving minors or incapacitated persons;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72, Government Code, is amended by adding Section 72.034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72.034.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SETTLEMENT AGREEMENT DATABASE.  (a)  The office shall establish and maintain an electronic database that contains personal injury or wrongful death settlement agreements for which a minor or incapacitated person is the beneficiary.  A party to the agreement or a guardian, next friend, or guardian ad litem may record the agreement in the database. </w:t>
      </w:r>
      <w:r>
        <w:rPr>
          <w:u w:val="single"/>
        </w:rPr>
        <w:t xml:space="preserve"> </w:t>
      </w:r>
      <w:r>
        <w:rPr>
          <w:u w:val="single"/>
        </w:rPr>
        <w:t xml:space="preserve">Only one copy of an agreement may be filed by the parties or the guardian, next friend, or guardian ad litem in each settlement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settlement agreement recorded in the database is confidential, and the office shall ensure that a settlement agreement may be accessed only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parties to the settlement agreement;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attorney representing a party to the settlement agreement;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guardian, next friend, or guardian ad litem of a party to the settlement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may set and collect a fee to record a settlement agreement in the database in an amount sufficient to cover the costs of maintaining the agreement in the database, not to exceed $50 for each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fee to record a settlement agreement in the database established by the office as provided by Subsection (c) is a court cost to be included for payment in the settlement agreement.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suit filed on behalf of a minor or incapacitated person that is pending in a trial court on the effective date of this Act or that is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