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86R952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placement of warning signs in areas where the use of a wireless communication device is prohibited.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545.425,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545.425.</w:t>
      </w:r>
      <w:r xml:space="preserve">
        <w:t> </w:t>
      </w:r>
      <w:r xml:space="preserve">
        <w:t> </w:t>
      </w:r>
      <w:r>
        <w:t xml:space="preserve">USE OF WIRELESS COMMUNICATION DEVICE IN A SCHOOL CROSSING ZONE OR WHILE OPERATING A SCHOOL BUS WITH A MINOR PASSENGER;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SIGN REQUIREMENTS;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545.425(b-1), (b-2), (b-4), and (d-1),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Except as provided by Subsection (b-2), </w:t>
      </w:r>
      <w:r>
        <w:rPr>
          <w:u w:val="single"/>
        </w:rPr>
        <w:t xml:space="preserve">a local authority</w:t>
      </w:r>
      <w:r>
        <w:t xml:space="preserve"> [</w:t>
      </w:r>
      <w:r>
        <w:rPr>
          <w:strike/>
        </w:rPr>
        <w:t xml:space="preserve">a municipality, county, or other political subdivision</w:t>
      </w:r>
      <w:r>
        <w:t xml:space="preserve">] that enforces this section </w:t>
      </w:r>
      <w:r>
        <w:rPr>
          <w:u w:val="single"/>
        </w:rPr>
        <w:t xml:space="preserve">in a school crossing zone in the local authority's jurisdiction</w:t>
      </w:r>
      <w:r>
        <w:t xml:space="preserve"> shall post a sign</w:t>
      </w:r>
      <w:r>
        <w:rPr>
          <w:u w:val="single"/>
        </w:rPr>
        <w:t xml:space="preserve">, or approve the posting of a sign by a school or school district,</w:t>
      </w:r>
      <w:r>
        <w:t xml:space="preserve"> </w:t>
      </w:r>
      <w:r>
        <w:t xml:space="preserve">that complies with the standards described by this subsection at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entrance to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each</w:t>
      </w:r>
      <w:r>
        <w:t xml:space="preserve">] school crossing zone [</w:t>
      </w:r>
      <w:r>
        <w:rPr>
          <w:strike/>
        </w:rPr>
        <w:t xml:space="preserve">in the municipality, county, or other political subdivision</w:t>
      </w:r>
      <w:r>
        <w:t xml:space="preserve">].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Texas Department of Transportation</w:t>
      </w:r>
      <w:r>
        <w:t xml:space="preserve"> [</w:t>
      </w:r>
      <w:r>
        <w:rPr>
          <w:strike/>
        </w:rPr>
        <w:t xml:space="preserve">department</w:t>
      </w:r>
      <w:r>
        <w:t xml:space="preserve">] shall adopt standards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allow for a sign required to be posted under this subsection to be attached to an existing sign at a minimal cost;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require that a sign required to be posted under this subsection inform an operator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use of a wireless communication device is prohibited in the school crossing zone;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operator is subject to a fine if the operator uses a wireless communication device in the school crossing zone.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municipality, county, or other political subdivision</w:t>
      </w:r>
      <w:r>
        <w:t xml:space="preserve">] that by ordinance or rule prohibits the use of a wireless communication device while operating a motor vehicle, including a prohibition that contains an exception for the use of a wireless communication device with a hands-free device, throughout the jurisdiction of 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is not required to post a sign as required by Subsection (b-1) and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post signs that are located at each point at which a state highway, U.S. highway, or interstate highway enters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and that state: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an operator is prohibited from using a wireless communication device while operating a motor vehicle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], and whether use of a wireless communication device with a hands-free device is allowed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the operator is subject to a fine if the operator uses a wireless communication device while operating a motor vehicle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all applicable United States Department of Transportation Federal Highway Administration rules, post a message that complies with Subdivision (1) on any dynamic message sign operated by 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located on a state highway, U.S. highway, or interstate highway in the </w:t>
      </w:r>
      <w:r>
        <w:rPr>
          <w:u w:val="single"/>
        </w:rPr>
        <w:t xml:space="preserve">jurisdiction of the 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(b-4)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local authority</w:t>
      </w:r>
      <w:r>
        <w:t xml:space="preserve"> [</w:t>
      </w:r>
      <w:r>
        <w:rPr>
          <w:strike/>
        </w:rPr>
        <w:t xml:space="preserve">political subdivision</w:t>
      </w:r>
      <w:r>
        <w:t xml:space="preserve">] shall pay the costs associated with the posting of signs under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(b-2)</w:t>
      </w:r>
      <w:r>
        <w:rPr>
          <w:u w:val="single"/>
        </w:rPr>
        <w:t xml:space="preserve">, unless the authority enters an agreement providing otherwise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(d-1)</w:t>
      </w:r>
      <w:r xml:space="preserve">
        <w:t> </w:t>
      </w:r>
      <w:r xml:space="preserve">
        <w:t> </w:t>
      </w:r>
      <w:r>
        <w:t xml:space="preserve">The affirmative defense available in Subsection (d)(2) is not available for an offense under Subsection (b) committed in a school crossing zone located in </w:t>
      </w:r>
      <w:r>
        <w:rPr>
          <w:u w:val="single"/>
        </w:rPr>
        <w:t xml:space="preserve">the jurisdiction of a local authority</w:t>
      </w:r>
      <w:r>
        <w:t xml:space="preserve"> [</w:t>
      </w:r>
      <w:r>
        <w:rPr>
          <w:strike/>
        </w:rPr>
        <w:t xml:space="preserve">a municipality, county, or other political subdivision</w:t>
      </w:r>
      <w:r>
        <w:t xml:space="preserve">] that is in compliance with Subsection (b-2).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