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86R969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political contributions and political expenditures by out-of-state political committees.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251.005(d),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out-of-state political committee that does not file a campaign treasurer appointment shall comply with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254.1581</w:t>
      </w:r>
      <w:r>
        <w:rPr>
          <w:u w:val="single"/>
        </w:rPr>
        <w:t xml:space="preserve">, 254.161, and 254.261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254.161,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254.161.</w:t>
      </w:r>
      <w:r xml:space="preserve">
        <w:t> </w:t>
      </w:r>
      <w:r xml:space="preserve">
        <w:t> </w:t>
      </w:r>
      <w:r>
        <w:t xml:space="preserve">NOTICE TO CANDIDATE AND OFFICEHOLDER OF CONTRIBUTIONS AND EXPENDITURES.  If a general-purpose committee other than the principal political committee of a political party or a political committee established by a political party's county executive committee accepts political contributions or makes political expenditures for a candidate or officeholder, notice of that fact shall be given to the affected candidate or officeholder as provided by Section 254.128 for a specific-purpose committee.  </w:t>
      </w:r>
      <w:r>
        <w:rPr>
          <w:u w:val="single"/>
        </w:rPr>
        <w:t xml:space="preserve">An out-of-state political committee that is required to comply with this section shall designate an officer of the committee to provide the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254.261,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to an out-of-state political committee that does not file a campaign treasurer appointment.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