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86R972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disclosures on certain mailed political advertising;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255, Election Code, is amended by adding Section 255.009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255.009.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DISCLOSURE ON SLATE MAILER.  (a)  In this section, "slate mailer" means a mass mailing that supports or opposes four or more candidates.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slate mailer produced by a general-purpose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disclosure statement required by Section 255.001 or 255.008, as applicable, the first page of a slate mailer must indicate the full name and address of each person with final decision-making authority as to which candidates are supported or opposed in the slate mailer.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knowingly cause to be published or distributed a slate mailer that does not include the disclosure required by Subsection (c).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this section is liable to this state for a civil penalty in an amount determined by the commission not to exceed $4,000.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