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86R976 ATP-F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Davis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781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prohibiting political contributions and political expenditures made by certain persons with public funds; creating a criminal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253, Election Code, is amended by adding Section 253.006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253.006.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UNLAWFUL USE OF PUBLIC FUNDS FOR CONTRIBUTIONS OR EXPENDITURES.  (a) </w:t>
      </w:r>
      <w:r>
        <w:rPr>
          <w:u w:val="single"/>
        </w:rPr>
        <w:t xml:space="preserve"> </w:t>
      </w:r>
      <w:r>
        <w:rPr>
          <w:u w:val="single"/>
        </w:rPr>
        <w:t xml:space="preserve">An officer or employee of a political subdivision may not spend or authorize the spending of public funds to make a political contribution or a political expenditure.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officer or employee of a political subdivision may not directly or indirectly employ a person to use public funds to make an unlawful political contribution or political expenditure.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violates Subsection (a) or (b) commits an offense. An offense under this section is a Class A misdemeanor.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253.006, Election Code, as added by this Act, applies only to a political contribution or a political expenditure made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