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86R14496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White</w:t>
      </w:r>
      <w:r xml:space="preserve">
        <w:tab wTab="150" tlc="none" cTlc="0"/>
      </w:r>
      <w:r>
        <w:t xml:space="preserve">H.B.</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assessments used by the Board of Pardons and Paroles to make parole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508.1446.</w:t>
      </w:r>
      <w:r>
        <w:rPr>
          <w:u w:val="single"/>
        </w:rPr>
        <w:t xml:space="preserve"> </w:t>
      </w:r>
      <w:r>
        <w:rPr>
          <w:u w:val="single"/>
        </w:rPr>
        <w:t xml:space="preserve"> </w:t>
      </w:r>
      <w:r>
        <w:rPr>
          <w:u w:val="single"/>
        </w:rPr>
        <w:t xml:space="preserve">STUDY ON ASSESSMENTS USED DURING PAROLE DECISIONS.  (a)  The board shall conduct a study on the effectiveness of the assessment components of the parole guidelines adopted under Section 508.144 and used by the board and parole panels in determining which inmates should be released on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obtain information on inmates considered and released on parole during the period beginning September 1, 2013, and ending August 31, 2016, from the Texas Board of Criminal Justice, the department, and any other criminal justice agency with relevant information on the recidivism of those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information for a select group of inmates based on an acceptable research methodology.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the effectiveness of the assessments, the board shall compare and analyze the recidivism rates and parole guideline score of the inmates used in the study.  The board shall determine for each category or score within the parole guidelines: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released on parole who are convicted of a misdemeanor offense following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inmates released on parole who are convicted of a felony offense following release on parole;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inmates released on parole who have had parole revoked for a reason other than a new conviction.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2021, the board shall submit a report on the results of the study to the governor, the lieutenant governor, and each member of the legislature.  The report must include any recommendations the board considers necessary to improve the parole decision-making process, including any updates to the parole guidelines or modifications to the range of recommended parole approval rates as described by Section 508.144(c).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