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86R19287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Farrar, Leach, et al.</w:t>
      </w:r>
      <w:r xml:space="preserve">
        <w:tab wTab="150" tlc="none" cTlc="0"/>
      </w:r>
      <w:r>
        <w:t xml:space="preserve">H.B.</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w:t>
      </w:r>
      <w:r>
        <w:rPr>
          <w:u w:val="single"/>
        </w:rPr>
        <w:t xml:space="preserve"> </w:t>
      </w:r>
      <w:r>
        <w:rPr>
          <w:u w:val="single"/>
        </w:rPr>
        <w:t xml:space="preserve">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w:t>
      </w:r>
      <w:r>
        <w:rPr>
          <w:u w:val="single"/>
        </w:rPr>
        <w:t xml:space="preserve">, an organization, the state, or an agency or institution of the state</w:t>
      </w:r>
      <w:r>
        <w:t xml:space="preserve"> [</w:t>
      </w:r>
      <w:r>
        <w:rPr>
          <w:strike/>
        </w:rPr>
        <w:t xml:space="preserve">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