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certain changes in the use of open-space land appraised as agricultural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23.76(e), 23.79(d), or 23.85(d) must be sent by certified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 [</w:t>
      </w:r>
      <w:r>
        <w:rPr>
          <w:strike/>
        </w:rPr>
        <w:t xml:space="preserve">D,</w:t>
      </w:r>
      <w:r>
        <w:t xml:space="preserve">] E, F, or G [</w:t>
      </w:r>
      <w:r>
        <w:rPr>
          <w:strike/>
        </w:rPr>
        <w:t xml:space="preserve">of this chapter</w:t>
      </w:r>
      <w:r>
        <w:t xml:space="preserve">] does not constitute a change of use of the property or diversion of the property to another use for purposes of the imposition of additional taxes under any of those subchapters.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23.524(e), Tax Code, as added by Chapter 44 (S.B. 1459),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 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w:t>
      </w:r>
      <w:r>
        <w:t xml:space="preserve">] E, or H, Chapter 23, state the market value and the taxable value for purposes of deferred or additional taxation as provided by Section 23.46, [</w:t>
      </w:r>
      <w:r>
        <w:rPr>
          <w:strike/>
        </w:rPr>
        <w:t xml:space="preserve">23.55,</w:t>
      </w:r>
      <w:r>
        <w:t xml:space="preserve">] 23.76, or 23.9807, as applicable;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unit and, if different, of the collector for the 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t xml:space="preserve">[</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w:t>
      </w:r>
      <w:r>
        <w:t xml:space="preserve">]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w:t>
      </w:r>
      <w:r>
        <w:t xml:space="preserve">] E, or H, Chapter 23, has occurred, not later than the 30th day after the date the notice of the determination is delivered to the property owner; or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w:t>
      </w:r>
      <w:r>
        <w:t xml:space="preserve"> </w:t>
      </w:r>
      <w:r>
        <w:t xml:space="preserve">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23.55; and</w:t>
      </w:r>
    </w:p>
    <w:p w:rsidR="003F3435" w:rsidRDefault="0032493E">
      <w:pPr>
        <w:spacing w:line="480" w:lineRule="auto"/>
        <w:ind w:firstLine="1440"/>
        <w:jc w:val="both"/>
      </w:pPr>
      <w:r>
        <w:t xml:space="preserve">(2)</w:t>
      </w:r>
      <w:r xml:space="preserve">
        <w:t> </w:t>
      </w:r>
      <w:r xml:space="preserve">
        <w:t> </w:t>
      </w:r>
      <w:r>
        <w:t xml:space="preserve">Sections 23.58(c) and (d).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of Section 23.55, Tax Code, by this Act does not affect an additional tax imposed as a result of a change of use of land appraised under Subchapter D, Chapter 23, Tax Code, that occurred before the effective date of this Act, and the former law is continued in effect for purposes of that tax.</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