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86R5691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Thompson of Harris, Collier,</w:t>
      </w:r>
      <w:r xml:space="preserve">
        <w:tab wTab="150" tlc="none" cTlc="0"/>
      </w:r>
      <w:r>
        <w:t xml:space="preserve">H.B.</w:t>
      </w:r>
      <w:r xml:space="preserve">
        <w:t> </w:t>
      </w:r>
      <w:r>
        <w:t xml:space="preserve">No.</w:t>
      </w:r>
      <w:r xml:space="preserve">
        <w:t> </w:t>
      </w:r>
      <w:r>
        <w:t xml:space="preserve">798</w:t>
      </w:r>
    </w:p>
    <w:p w:rsidR="003F3435" w:rsidRDefault="0032493E">
      <w:pPr>
        <w:jc w:val="both"/>
      </w:pPr>
      <w:r xml:space="preserve">
        <w:t> </w:t>
      </w:r>
      <w:r xml:space="preserve">
        <w:t> </w:t>
      </w:r>
      <w:r xml:space="preserve">
        <w:t> </w:t>
      </w:r>
      <w:r xml:space="preserve">
        <w:t> </w:t>
      </w:r>
      <w:r xml:space="preserve">
        <w:t> </w:t>
      </w:r>
      <w:r>
        <w:t xml:space="preserve">Holland, Zedler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plot plan requirements for an application for a standard permit for a concrete batch plant issued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application for the issuance of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distance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north arrow;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two benchmark locations in the area in which the facility will be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the issuance of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standard permit described by Section 382.05195 or 382.05198, Health and Safety Code, that is filed with the Texas Commission on Environmental Quality on or after the effective date of this Act. An application for a standard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