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799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Transportation; May</w:t>
      </w:r>
      <w:r xml:space="preserve">
        <w:t> </w:t>
      </w:r>
      <w:r>
        <w:t xml:space="preserve">1,</w:t>
      </w:r>
      <w:r xml:space="preserve">
        <w:t> </w:t>
      </w:r>
      <w:r>
        <w:t xml:space="preserve">2019, reported favorably by the following vote:</w:t>
      </w:r>
      <w:r>
        <w:t xml:space="preserve"> </w:t>
      </w:r>
      <w:r>
        <w:t xml:space="preserve"> </w:t>
      </w:r>
      <w:r>
        <w:t xml:space="preserve">Yeas 7,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for certain damage caused by vehicles exceeding maximum height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621.207(c),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owner of a vehicle is strictly liable for any</w:t>
      </w:r>
      <w:r>
        <w:t xml:space="preserve"> [</w:t>
      </w:r>
      <w:r>
        <w:rPr>
          <w:strike/>
        </w:rPr>
        <w:t xml:space="preserve">Any</w:t>
      </w:r>
      <w:r>
        <w:t xml:space="preserve">] damage to a bridge, underpass, or similar structure that is caused by the height of </w:t>
      </w:r>
      <w:r>
        <w:rPr>
          <w:u w:val="single"/>
        </w:rPr>
        <w:t xml:space="preserve">the</w:t>
      </w:r>
      <w:r>
        <w:t xml:space="preserve"> [</w:t>
      </w:r>
      <w:r>
        <w:rPr>
          <w:strike/>
        </w:rPr>
        <w:t xml:space="preserve">a</w:t>
      </w:r>
      <w:r>
        <w:t xml:space="preserve">] vehicle </w:t>
      </w:r>
      <w:r>
        <w:rPr>
          <w:u w:val="single"/>
        </w:rPr>
        <w:t xml:space="preserve">unless at the time the damage was caused: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was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r>
        <w:t xml:space="preserve"> [</w:t>
      </w:r>
      <w:r>
        <w:rPr>
          <w:strike/>
        </w:rPr>
        <w:t xml:space="preserve">is the responsibility of the owner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621.504, Transportation Code, is amended to read as follows:</w:t>
      </w:r>
    </w:p>
    <w:p w:rsidR="003F3435" w:rsidRDefault="0032493E">
      <w:pPr>
        <w:spacing w:line="480" w:lineRule="auto"/>
        <w:ind w:firstLine="720"/>
        <w:jc w:val="both"/>
      </w:pPr>
      <w:r>
        <w:t xml:space="preserve">Sec.</w:t>
      </w:r>
      <w:r xml:space="preserve">
        <w:t> </w:t>
      </w:r>
      <w:r>
        <w:t xml:space="preserve">621.504.</w:t>
      </w:r>
      <w:r xml:space="preserve">
        <w:t> </w:t>
      </w:r>
      <w:r xml:space="preserve">
        <w:t> </w:t>
      </w:r>
      <w:r>
        <w:t xml:space="preserve">BRIDGE OR UNDERPASS CLEARANCE</w:t>
      </w:r>
      <w:r>
        <w:rPr>
          <w:u w:val="single"/>
        </w:rPr>
        <w:t xml:space="preserve">; OFFENSE</w:t>
      </w:r>
      <w:r>
        <w:t xml:space="preserve">.  </w:t>
      </w:r>
      <w:r>
        <w:rPr>
          <w:u w:val="single"/>
        </w:rPr>
        <w:t xml:space="preserve">(a)</w:t>
      </w:r>
      <w:r>
        <w:t xml:space="preserve">  A person </w:t>
      </w:r>
      <w:r>
        <w:rPr>
          <w:u w:val="single"/>
        </w:rPr>
        <w:t xml:space="preserve">commits an offense if the person operates</w:t>
      </w:r>
      <w:r>
        <w:t xml:space="preserve"> [</w:t>
      </w:r>
      <w:r>
        <w:rPr>
          <w:strike/>
        </w:rPr>
        <w:t xml:space="preserve">may not operate</w:t>
      </w:r>
      <w:r>
        <w:t xml:space="preserve">] or </w:t>
      </w:r>
      <w:r>
        <w:rPr>
          <w:u w:val="single"/>
        </w:rPr>
        <w:t xml:space="preserve">attempts</w:t>
      </w:r>
      <w:r>
        <w:t xml:space="preserve"> [</w:t>
      </w:r>
      <w:r>
        <w:rPr>
          <w:strike/>
        </w:rPr>
        <w:t xml:space="preserve">attempt</w:t>
      </w:r>
      <w:r>
        <w:t xml:space="preserve">]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on the trial of an offense under this section that the person was not in compliance with all applicable license and permit requirements for the operation of the vehicle, an offense under this section is a Class B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county jail for a term not to exceed 30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confinement.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of an offense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623.148(b),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623.198(b),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621.207(c), 623.148(b), and 623.198(b), Transportation Code, as amended by this Act, apply only to damage that occurs on or after the effective date of this Act. Damage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621.504, Transportation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