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  <w:t>86R1940 TJB-D</w:t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By:</w:t>
      </w:r>
      <w:r xml:space="preserve">
        <w:t> </w:t>
      </w:r>
      <w:r xml:space="preserve">
        <w:t> </w:t>
      </w:r>
      <w:r>
        <w:t xml:space="preserve">Huberty</w:t>
      </w: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802</w:t>
      </w:r>
    </w:p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 BILL TO BE ENTITLED</w:t>
      </w:r>
    </w:p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voting rights and eligibility for office of residents of certain districts subject to a strategic partnership agreement.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Section 43.0751, Local Government Code, is amended by adding Subsection (q-1) to read as follows:</w:t>
      </w:r>
    </w:p>
    <w:p w:rsidR="003F3435" w:rsidRDefault="0032493E">
      <w:pPr>
        <w:spacing w:line="480" w:lineRule="auto"/>
        <w:ind w:firstLine="720"/>
        <w:jc w:val="both"/>
      </w:pPr>
      <w:r>
        <w:rPr>
          <w:u w:val="single"/>
        </w:rPr>
        <w:t xml:space="preserve">(q-1)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Except as provided by this subsection, the qualified voters of a district any part of which is annexed for limited purposes under a strategic partnership agreement under this section are entitled to vote in municipal elections as provided by Section 43.130.  If the district includes area located in more than one municipality, a qualified voter of a district is not entitled to vote in municipal elections under this subsection if the voter is a resident of a municipality other than the municipality subject to the strategic partnership agreement.  A resident of a district any part of which is annexed for limited purposes under this section is not eligible to be a candidate for or to be elected to a municipal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immediately if it receives a vote of two-thirds of all the members elected to each house, as provided by Section 39, Article III, Texas Constitution.</w:t>
      </w:r>
      <w:r>
        <w:t xml:space="preserve"> </w:t>
      </w:r>
      <w:r>
        <w:t xml:space="preserve"> </w:t>
      </w:r>
      <w:r>
        <w:t xml:space="preserve">If this Act does not receive the vote necessary for immediate effect, this Act takes effect September 1, 2019.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802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