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86R1940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rights and eligibility for office of residents of certain districts subject to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43.0751, Local Government Code, is amended by adding Subsection (q-1)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this subsection, the qualified voters of a district any part of which is annexed for limited purposes under a strategic partnership agreement under this section are entitled to vote in municipal elections as provided by Section 43.130.  If the district includes area located in more than one municipality, a qualified voter of a district is not entitled to vote in municipal elections under this subsection if the voter is a resident of a municipality other than the municipality subject to the strategic partnership agreement.  A resident of a district any part of which is annexed for limited purposes under this section is not eligible to be a candidate for or to be elected to a municipal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