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86R18564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Canales, Thierry, Toth,</w:t>
      </w:r>
      <w:r xml:space="preserve">
        <w:tab wTab="150" tlc="none" cTlc="0"/>
      </w:r>
      <w:r>
        <w:t xml:space="preserve">H.B.</w:t>
      </w:r>
      <w:r xml:space="preserve">
        <w:t> </w:t>
      </w:r>
      <w:r>
        <w:t xml:space="preserve">No.</w:t>
      </w:r>
      <w:r xml:space="preserve">
        <w:t> </w:t>
      </w:r>
      <w:r>
        <w:t xml:space="preserve">803</w:t>
      </w:r>
    </w:p>
    <w:p w:rsidR="003F3435" w:rsidRDefault="0032493E">
      <w:pPr>
        <w:jc w:val="both"/>
      </w:pPr>
      <w:r xml:space="preserve">
        <w:t> </w:t>
      </w:r>
      <w:r xml:space="preserve">
        <w:t> </w:t>
      </w:r>
      <w:r xml:space="preserve">
        <w:t> </w:t>
      </w:r>
      <w:r xml:space="preserve">
        <w:t> </w:t>
      </w:r>
      <w:r xml:space="preserve">
        <w:t> </w:t>
      </w:r>
      <w:r>
        <w:t xml:space="preserve">Krause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803:</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C.S.H.B.</w:t>
      </w:r>
      <w:r xml:space="preserve">
        <w:t> </w:t>
      </w:r>
      <w:r>
        <w:t xml:space="preserve">No.</w:t>
      </w:r>
      <w:r xml:space="preserve">
        <w:t> </w:t>
      </w:r>
      <w:r>
        <w:t xml:space="preserve">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reporting requirements of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FINANCIAL REPORTING REQUIREMENTS.  (a) </w:t>
      </w:r>
      <w:r>
        <w:rPr>
          <w:u w:val="single"/>
        </w:rPr>
        <w:t xml:space="preserve"> </w:t>
      </w:r>
      <w:r>
        <w:rPr>
          <w:u w:val="single"/>
        </w:rPr>
        <w:t xml:space="preserve">In this section, "system"</w:t>
      </w:r>
      <w:r>
        <w:rPr>
          <w:u w:val="single"/>
        </w:rPr>
        <w:t xml:space="preserve"> </w:t>
      </w:r>
      <w:r>
        <w:rPr>
          <w:u w:val="single"/>
        </w:rPr>
        <w:t xml:space="preserve">includes a system established under Section 228.010, 366.034, or 370.034.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last day of a toll project entity's fiscal year, the entity shall publish on the entity's Internet website a report on the entity's financial data,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maturity of all bonds issued by the entity for a toll project or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toll revenue for each toll project for the previous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accounting of total revenue collected and expenses incurred by the entity for the previous fiscal year, such as debt service, maintenance and operation costs, any other miscellaneous expenses, and any surplus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capital improvement plan with proposed or expected capital expenditures over a period determined by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requirements under Subsection (b), a toll project entity may report any money deposited by the entity in a debt service reserve fund as required by a bondholder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may publish on the entity's Internet website graphs or tables from the entity's certified audited financial report or annual continuing disclosure report to comply with the reporting requirements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shall prominently display on the entity's Internet website a link to the report under Subsection (b). The report must be posted separately from the entity's certified audited financial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