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86R4996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financial reporting requirements for toll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372, Transportation Code, is amended by adding Section 372.054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372.054.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FINANCIAL REPORTING REQUIREMENTS FOR TOLL PROJECTS.  Not later than December 31 of each year, a toll project entity shall publish on the entity's Internet website a report on the entity's annual financial data, including toll revenue, operational expenses, and outstanding debt, for each toll project acquired, designed, constructed, operated, or maintained by the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