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 et al.</w:t>
      </w:r>
      <w:r>
        <w:t xml:space="preserve"> (Senate Sponsor</w:t>
      </w:r>
      <w:r xml:space="preserve">
        <w:t> </w:t>
      </w:r>
      <w:r>
        <w:t xml:space="preserve">-</w:t>
      </w:r>
      <w:r xml:space="preserve">
        <w:t> </w:t>
      </w:r>
      <w:r>
        <w:t xml:space="preserve">Paxton)</w:t>
      </w:r>
      <w:r xml:space="preserve">
        <w:tab wTab="150" tlc="none" cTlc="0"/>
      </w:r>
      <w:r>
        <w:t xml:space="preserve">H.B.</w:t>
      </w:r>
      <w:r xml:space="preserve">
        <w:t> </w:t>
      </w:r>
      <w:r>
        <w:t xml:space="preserve">No.</w:t>
      </w:r>
      <w:r xml:space="preserve">
        <w:t> </w:t>
      </w:r>
      <w:r>
        <w:t xml:space="preserve">803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2019; May</w:t>
      </w:r>
      <w:r xml:space="preserve">
        <w:t> </w:t>
      </w:r>
      <w:r>
        <w:t xml:space="preserve">17,</w:t>
      </w:r>
      <w:r xml:space="preserve">
        <w:t> </w:t>
      </w:r>
      <w:r>
        <w:t xml:space="preserve">2019, read first time and referred to Committee on Transportation; May</w:t>
      </w:r>
      <w:r xml:space="preserve">
        <w:t> </w:t>
      </w:r>
      <w:r>
        <w:t xml:space="preserve">17,</w:t>
      </w:r>
      <w:r xml:space="preserve">
        <w:t> </w:t>
      </w:r>
      <w:r>
        <w:t xml:space="preserve">2019, reported favorably by the following vote:</w:t>
      </w:r>
      <w:r>
        <w:t xml:space="preserve"> </w:t>
      </w:r>
      <w:r>
        <w:t xml:space="preserve"> </w:t>
      </w:r>
      <w:r>
        <w:t xml:space="preserve">Yeas 9,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financial reporting requirements of a toll project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372, Transportation Code, is amended by adding Section 372.054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372.054.</w:t>
      </w:r>
      <w:r>
        <w:rPr>
          <w:u w:val="single"/>
        </w:rPr>
        <w:t xml:space="preserve"> </w:t>
      </w:r>
      <w:r>
        <w:rPr>
          <w:u w:val="single"/>
        </w:rPr>
        <w:t xml:space="preserve"> </w:t>
      </w:r>
      <w:r>
        <w:rPr>
          <w:u w:val="single"/>
        </w:rPr>
        <w:t xml:space="preserve">FINANCIAL REPORTING REQUIREMENTS.  (a) </w:t>
      </w:r>
      <w:r>
        <w:rPr>
          <w:u w:val="single"/>
        </w:rPr>
        <w:t xml:space="preserve"> </w:t>
      </w:r>
      <w:r>
        <w:rPr>
          <w:u w:val="single"/>
        </w:rPr>
        <w:t xml:space="preserve">In this section, "system"</w:t>
      </w:r>
      <w:r>
        <w:rPr>
          <w:u w:val="single"/>
        </w:rPr>
        <w:t xml:space="preserve"> </w:t>
      </w:r>
      <w:r>
        <w:rPr>
          <w:u w:val="single"/>
        </w:rPr>
        <w:t xml:space="preserve">includes a system established under Section 228.010, 366.034, or 370.034.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180th day after the last day of a toll project entity's fiscal year, the entity shall publish on the entity's Internet website a report on the entity's financial data,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final maturity of all bonds issued by the entity for a toll project or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toll revenue for each toll project for the previous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accounting of total revenue collected and expenses incurred by the entity for the previous fiscal year, such as debt service, maintenance and operation costs, any other miscellaneous expenses, and any surplus revenue;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capital improvement plan with proposed or expected capital expenditures over a period determined by the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reporting requirements under Subsection (b), a toll project entity may report any money deposited by the entity in a debt service reserve fund as required by a bondholder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toll project entity may publish on the entity's Internet website graphs or tables from the entity's certified audited financial report or annual continuing disclosure report to comply with the reporting requirements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toll project entity shall prominently display on the entity's Internet website a link to the report under Subsection (b). The report must be posted separately from the entity's certified audited financial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(b), for a toll project that is the subject of a comprehensive development agreement entered into by a toll project entity, the entity is only required to publish on the entity's Internet website the name and cost of the toll project and the termination date of the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