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86R5242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school students evaluated for purposes of accountability ratings in certain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Education Code, is amended by adding Section 39.0531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39.0531.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STUDENTS EVALUATED FOR PURPOSES OF ACCOUNTABILITY RATINGS IN CERTAIN SCHOOL DISTRICTS.  (a) This section applies only to a school district that includes a student enrollment of at least 1,000 African American males.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for purposes of evaluating under Sections 39.053(c)(1) and (2)(A) the performance of a school district subject to this section and campuses in a school district subject to this section, only the performance of African American males may be considered.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for purposes of evaluating under Section 39.053(c)(3) the performance of a school district subject to this section and campuses in a school district subject to this section, only the student academic achievement differentials among African American males from different socioeconomic backgrounds may be considered.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