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adverse childhood experiences and developing a strategic plan to address those experiences.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COORDINATION TO ADDRESS ADVERSE CHILDHOOD EXPERIENCES; STRATEGIC PLAN. </w:t>
      </w:r>
      <w:r>
        <w:rPr>
          <w:u w:val="single"/>
        </w:rPr>
        <w:t xml:space="preserve"> </w:t>
      </w:r>
      <w:r>
        <w:rPr>
          <w:u w:val="single"/>
        </w:rPr>
        <w:t xml:space="preserve">(a) </w:t>
      </w:r>
      <w:r>
        <w:rPr>
          <w:u w:val="single"/>
        </w:rPr>
        <w:t xml:space="preserve"> </w:t>
      </w:r>
      <w:r>
        <w:rPr>
          <w:u w:val="single"/>
        </w:rPr>
        <w:t xml:space="preserve">In this section, "adverse childhood experience"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intimate partner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parental separation or divorce;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reduce exposure of children in this state to adverse childhood experiences and to address the social, health, and economic impacts of those experiences, the commission, in collaboration with the Department of Family and Protective Services, the Department of State Health Services, the Texas Education Agency, the Texas Workforce Commission, and an institution of higher education, as defined by Section 61.003, Education Code, with expertise in addressing adverse childhood experiences through a public health framework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data related to the causes and effects of adverse childhood experiences, including data from the Behavioral Risk Factor Surveillance System established by the Centers for Disease Control and Prevention of the United States Public Health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prevention needs and gaps in services and support regarding awareness of, screening for, and treatment of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methods to incorporate best practices for preventing and treating adverse childhood experiences into existing services and support programs offered for children and families;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implement a five-year strategic plan to prevent and address adverse childhood experiences.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five-year strategic plan under Subsection (b)(4), the commission may collaborate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welfare services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and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law enforcement and criminal justice community;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business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strategic plan must incorporate a public health approach that promotes collaboration between agencies and community-based providers. The strategic plan may include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 and educate professionals to assess, treat, and prevent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trauma-informed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high quality child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support to parents to develop social and economic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voluntary, evidence-based home visiting programs specifically developed to meet the needs of women who are pregnant and families with an infant to strengthen parenting skills and the child's social and emotional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parental support programs for teen parents and young mothers;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parental education training and counseling programs;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identify best practices for child protective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treat mental illness and substance use disorder;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intimate partner and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publish the five-year strategic plan required by Subsection (b)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five-year strategic plan required by Section 531.0222(b)(4), Government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Senate Health and Human Services Committee, the House Public Health Committee, and the House Human Services Committee regarding the commission's strategies for preventing and treating adverse childhood experiences and any plan to incorporate those strategies into existing services and support programs for children and families.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