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86R7505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825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notice of intent to obtain an environmental permit sent to certain state legislators.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5.552(b), Water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the 30th day after the date the executive director determines the application to be administratively complete:</w:t>
      </w:r>
    </w:p>
    <w:p w:rsidR="003F3435" w:rsidRDefault="0032493E">
      <w:pPr>
        <w:spacing w:line="480" w:lineRule="auto"/>
        <w:ind w:firstLine="1440"/>
        <w:jc w:val="both"/>
      </w:pPr>
      <w:r>
        <w:t xml:space="preserve">(1)</w:t>
      </w:r>
      <w:r xml:space="preserve">
        <w:t> </w:t>
      </w:r>
      <w:r xml:space="preserve">
        <w:t> </w:t>
      </w:r>
      <w:r>
        <w:t xml:space="preserve">the applicant shall publish notice of intent to obtain a permit at least once in the newspaper of largest circulation in the county in which the facility to which the application relates is located or proposed to be located or, if the facility to which the application relates is located or proposed to be located in a municipality, at least once in a newspaper of general circulation in the municipality; and</w:t>
      </w:r>
    </w:p>
    <w:p w:rsidR="003F3435" w:rsidRDefault="0032493E">
      <w:pPr>
        <w:spacing w:line="480" w:lineRule="auto"/>
        <w:ind w:firstLine="1440"/>
        <w:jc w:val="both"/>
      </w:pPr>
      <w:r>
        <w:t xml:space="preserve">(2)</w:t>
      </w:r>
      <w:r xml:space="preserve">
        <w:t> </w:t>
      </w:r>
      <w:r xml:space="preserve">
        <w:t> </w:t>
      </w:r>
      <w:r>
        <w:t xml:space="preserve">the chief clerk of the commission shall</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mail notice of intent to obtain a permit to:</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state senator and representative who represent the general area in which the facility is located or proposed to be located;</w:t>
      </w:r>
      <w:r>
        <w:t xml:space="preserve">]</w:t>
      </w:r>
    </w:p>
    <w:p w:rsidR="003F3435" w:rsidRDefault="0032493E">
      <w:pPr>
        <w:spacing w:line="480" w:lineRule="auto"/>
        <w:ind w:firstLine="2880"/>
        <w:jc w:val="both"/>
      </w:pPr>
      <w:r>
        <w:rPr>
          <w:u w:val="single"/>
        </w:rPr>
        <w:t xml:space="preserve">(i)</w:t>
      </w:r>
      <w:r xml:space="preserve">
        <w:t> </w:t>
      </w:r>
      <w:r>
        <w:t xml:space="preserve">[</w:t>
      </w:r>
      <w:r>
        <w:rPr>
          <w:strike/>
        </w:rPr>
        <w:t xml:space="preserve">(B)</w:t>
      </w:r>
      <w:r>
        <w:t xml:space="preserve">]</w:t>
      </w:r>
      <w:r xml:space="preserve">
        <w:t> </w:t>
      </w:r>
      <w:r xml:space="preserve">
        <w:t> </w:t>
      </w:r>
      <w:r>
        <w:t xml:space="preserve">the mayor and health authorities of the municipality in which the facility is located or proposed to be located;</w:t>
      </w:r>
    </w:p>
    <w:p w:rsidR="003F3435" w:rsidRDefault="0032493E">
      <w:pPr>
        <w:spacing w:line="480" w:lineRule="auto"/>
        <w:ind w:firstLine="2880"/>
        <w:jc w:val="both"/>
      </w:pPr>
      <w:r>
        <w:rPr>
          <w:u w:val="single"/>
        </w:rPr>
        <w:t xml:space="preserve">(ii)</w:t>
      </w:r>
      <w:r xml:space="preserve">
        <w:t> </w:t>
      </w:r>
      <w:r>
        <w:t xml:space="preserve">[</w:t>
      </w:r>
      <w:r>
        <w:rPr>
          <w:strike/>
        </w:rPr>
        <w:t xml:space="preserve">(C)</w:t>
      </w:r>
      <w:r>
        <w:t xml:space="preserve">]</w:t>
      </w:r>
      <w:r xml:space="preserve">
        <w:t> </w:t>
      </w:r>
      <w:r xml:space="preserve">
        <w:t> </w:t>
      </w:r>
      <w:r>
        <w:t xml:space="preserve">the county judge and health authorities of the county in which the facility is located or proposed to be located; and</w:t>
      </w:r>
    </w:p>
    <w:p w:rsidR="003F3435" w:rsidRDefault="0032493E">
      <w:pPr>
        <w:spacing w:line="480" w:lineRule="auto"/>
        <w:ind w:firstLine="2880"/>
        <w:jc w:val="both"/>
      </w:pPr>
      <w:r>
        <w:rPr>
          <w:u w:val="single"/>
        </w:rPr>
        <w:t xml:space="preserve">(iii)</w:t>
      </w:r>
      <w:r xml:space="preserve">
        <w:t> </w:t>
      </w:r>
      <w:r>
        <w:t xml:space="preserve">[</w:t>
      </w:r>
      <w:r>
        <w:rPr>
          <w:strike/>
        </w:rPr>
        <w:t xml:space="preserve">(D)</w:t>
      </w:r>
      <w:r>
        <w:t xml:space="preserve">]</w:t>
      </w:r>
      <w:r xml:space="preserve">
        <w:t> </w:t>
      </w:r>
      <w:r xml:space="preserve">
        <w:t> </w:t>
      </w:r>
      <w:r>
        <w:t xml:space="preserve">the river authority in which the facility is located or proposed to be located if the application is under Chapter 26, Water Code</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send notice of intent to obtain a permit to the state senator and representative who represent the general area in which the facility is located or proposed to be located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application for a permit that is filed with the Texas Commission on Environmental Quality on or after the effective date of this Act.  An application for a permit filed before the effective date of this Act is governed by the law in effect on the date of filing,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