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86R5135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Rose, Raymond, Guillen</w:t>
      </w:r>
      <w:r xml:space="preserve">
        <w:tab wTab="150" tlc="none" cTlc="0"/>
      </w:r>
      <w:r>
        <w:t xml:space="preserve">H.B.</w:t>
      </w:r>
      <w:r xml:space="preserve">
        <w:t> </w:t>
      </w:r>
      <w:r>
        <w:t xml:space="preserve">No.</w:t>
      </w:r>
      <w:r xml:space="preserve">
        <w:t> </w:t>
      </w:r>
      <w:r>
        <w:t xml:space="preserve">827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exemption from ad valorem taxation of an improvement that is necessary to support the continued use or existence of a historic site.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11.24, Tax Code, is amended to read as follows:</w:t>
      </w:r>
    </w:p>
    <w:p w:rsidR="003F3435" w:rsidRDefault="0032493E">
      <w:pPr>
        <w:spacing w:line="480" w:lineRule="auto"/>
        <w:ind w:firstLine="720"/>
        <w:jc w:val="both"/>
      </w:pPr>
      <w:r>
        <w:t xml:space="preserve">Sec.</w:t>
      </w:r>
      <w:r xml:space="preserve">
        <w:t> </w:t>
      </w:r>
      <w:r>
        <w:t xml:space="preserve">11.24.</w:t>
      </w:r>
      <w:r xml:space="preserve">
        <w:t> </w:t>
      </w:r>
      <w:r xml:space="preserve">
        <w:t> </w:t>
      </w:r>
      <w:r>
        <w:t xml:space="preserve">HISTORIC SITES </w:t>
      </w:r>
      <w:r>
        <w:rPr>
          <w:u w:val="single"/>
        </w:rPr>
        <w:t xml:space="preserve">AND RELATED PROPERTY</w:t>
      </w:r>
      <w:r>
        <w:t xml:space="preserve">. </w:t>
      </w:r>
      <w:r>
        <w:rPr>
          <w:u w:val="single"/>
        </w:rPr>
        <w:t xml:space="preserve">(a)</w:t>
      </w:r>
      <w:r>
        <w:t xml:space="preserve"> The governing body of a taxing unit by official action of the body adopted in the manner required by law for official actions may exempt from taxation part or all of the assessed value of a structure or archeological site and the land necessary for access to and use of the structure or archeological site, if the structure or archeological site is:</w:t>
      </w:r>
    </w:p>
    <w:p w:rsidR="003F3435" w:rsidRDefault="0032493E">
      <w:pPr>
        <w:spacing w:line="480" w:lineRule="auto"/>
        <w:ind w:firstLine="1440"/>
        <w:jc w:val="both"/>
      </w:pPr>
      <w:r>
        <w:t xml:space="preserve">(1)</w:t>
      </w:r>
      <w:r xml:space="preserve">
        <w:t> </w:t>
      </w:r>
      <w:r xml:space="preserve">
        <w:t> </w:t>
      </w:r>
      <w:r>
        <w:t xml:space="preserve">designated as a Recorded Texas Historic Landmark under Chapter 442, Government Code, or a state archeological landmark under Chapter 191, Natural Resources Code, by the Texas Historical Commission; or</w:t>
      </w:r>
    </w:p>
    <w:p w:rsidR="003F3435" w:rsidRDefault="0032493E">
      <w:pPr>
        <w:spacing w:line="480" w:lineRule="auto"/>
        <w:ind w:firstLine="1440"/>
        <w:jc w:val="both"/>
      </w:pPr>
      <w:r>
        <w:t xml:space="preserve">(2)</w:t>
      </w:r>
      <w:r xml:space="preserve">
        <w:t> </w:t>
      </w:r>
      <w:r xml:space="preserve">
        <w:t> </w:t>
      </w:r>
      <w:r>
        <w:t xml:space="preserve">designated as a historically or archeologically significant site in need of tax relief to encourage its preservation pursuant to an ordinance or other law adopted by the governing body of the </w:t>
      </w:r>
      <w:r>
        <w:rPr>
          <w:u w:val="single"/>
        </w:rPr>
        <w:t xml:space="preserve">taxing</w:t>
      </w:r>
      <w:r>
        <w:t xml:space="preserve"> unit.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body of a taxing unit by official action of the body adopted in the manner required by law for official actions may exempt from taxation part or all of the assessed value of an improvement that is economically or physically necessary to support the continued use or existence of a structure or archeological site exempted under Subsection (a) and the land necessary for access to and use of the improvement if the improvement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located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same parcel of property on which the structure or archeological site is located;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parcel of property that is adjacent to the parcel described by Paragraph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constructed in a manner that is consistent with the architectural integrity of the structure or archeological site.</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an ad valorem tax year that begins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