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86R2259 LHC-F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Israel</w:t>
      </w:r>
      <w:r xml:space="preserve">
        <w:tab wTab="150" tlc="none" cTlc="0"/>
      </w:r>
      <w:r>
        <w:t xml:space="preserve">H.B.</w:t>
      </w:r>
      <w:r xml:space="preserve">
        <w:t> </w:t>
      </w:r>
      <w:r>
        <w:t xml:space="preserve">No.</w:t>
      </w:r>
      <w:r xml:space="preserve">
        <w:t> </w:t>
      </w:r>
      <w:r>
        <w:t xml:space="preserve">830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by a peace officer of certain individuals suspected of the offense of public intoxication.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Articles 14.031(a) and (c), Code of Criminal Procedure, are amended to read as follows:</w:t>
      </w:r>
    </w:p>
    <w:p w:rsidR="003F3435" w:rsidRDefault="0032493E">
      <w:pPr>
        <w:spacing w:line="480" w:lineRule="auto"/>
        <w:ind w:firstLine="720"/>
        <w:jc w:val="both"/>
      </w:pPr>
      <w:r>
        <w:t xml:space="preserve">(a)</w:t>
      </w:r>
      <w:r xml:space="preserve">
        <w:t> </w:t>
      </w:r>
      <w:r xml:space="preserve">
        <w:t> </w:t>
      </w:r>
      <w:r>
        <w:t xml:space="preserve">In lieu of arresting an individual who is not a child, as defined by Section 51.02, Family Code, and who commits an offense under Section 49.02, Penal Code, a peace officer may release the individual if:</w:t>
      </w:r>
    </w:p>
    <w:p w:rsidR="003F3435" w:rsidRDefault="0032493E">
      <w:pPr>
        <w:spacing w:line="480" w:lineRule="auto"/>
        <w:ind w:firstLine="1440"/>
        <w:jc w:val="both"/>
      </w:pPr>
      <w:r>
        <w:t xml:space="preserve">(1)</w:t>
      </w:r>
      <w:r xml:space="preserve">
        <w:t> </w:t>
      </w:r>
      <w:r xml:space="preserve">
        <w:t> </w:t>
      </w:r>
      <w:r>
        <w:t xml:space="preserve">the officer believes detention in a penal facility is unnecessary for the protection of the individual or others;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released to the care of an adult who agrees to assume responsibility for the individual;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verbally consents to voluntary treatment for </w:t>
      </w:r>
      <w:r>
        <w:rPr>
          <w:u w:val="single"/>
        </w:rPr>
        <w:t xml:space="preserve">substance use</w:t>
      </w:r>
      <w:r>
        <w:t xml:space="preserve"> [</w:t>
      </w:r>
      <w:r>
        <w:rPr>
          <w:strike/>
        </w:rPr>
        <w:t xml:space="preserve">chemical dependency</w:t>
      </w:r>
      <w:r>
        <w:t xml:space="preserve">] in a program in a treatment facility licensed and approved by the </w:t>
      </w:r>
      <w:r>
        <w:rPr>
          <w:u w:val="single"/>
        </w:rPr>
        <w:t xml:space="preserve">Health and Human Services</w:t>
      </w:r>
      <w:r>
        <w:t xml:space="preserve"> [</w:t>
      </w:r>
      <w:r>
        <w:rPr>
          <w:strike/>
        </w:rPr>
        <w:t xml:space="preserve">Texas</w:t>
      </w:r>
      <w:r>
        <w:t xml:space="preserve">] Commission [</w:t>
      </w:r>
      <w:r>
        <w:rPr>
          <w:strike/>
        </w:rPr>
        <w:t xml:space="preserve">on Alcohol and Drug Abuse</w:t>
      </w:r>
      <w:r>
        <w:t xml:space="preserve">], and the program admits the individual for treatment</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verbally consents to voluntary admission to a facility that provides a place for individuals to become sober under supervision, and the facility admits the individual for supervision</w:t>
      </w:r>
      <w:r>
        <w:t xml:space="preserve">.</w:t>
      </w:r>
    </w:p>
    <w:p w:rsidR="003F3435" w:rsidRDefault="0032493E">
      <w:pPr>
        <w:spacing w:line="480" w:lineRule="auto"/>
        <w:ind w:firstLine="720"/>
        <w:jc w:val="both"/>
      </w:pPr>
      <w:r>
        <w:t xml:space="preserve">(c)</w:t>
      </w:r>
      <w:r xml:space="preserve">
        <w:t> </w:t>
      </w:r>
      <w:r xml:space="preserve">
        <w:t> </w:t>
      </w:r>
      <w:r>
        <w:t xml:space="preserve">The release of an individual under Subsection (a) or (b) of this article to </w:t>
      </w:r>
      <w:r>
        <w:rPr>
          <w:u w:val="single"/>
        </w:rPr>
        <w:t xml:space="preserve">a substance use</w:t>
      </w:r>
      <w:r>
        <w:t xml:space="preserve"> [</w:t>
      </w:r>
      <w:r>
        <w:rPr>
          <w:strike/>
        </w:rPr>
        <w:t xml:space="preserve">an alcohol or drug</w:t>
      </w:r>
      <w:r>
        <w:t xml:space="preserve">] treatment program </w:t>
      </w:r>
      <w:r>
        <w:rPr>
          <w:u w:val="single"/>
        </w:rPr>
        <w:t xml:space="preserve">or a facility that provides a place for individuals to become sober under supervision</w:t>
      </w:r>
      <w:r>
        <w:t xml:space="preserve"> may not be considered by a peace officer or magistrate in determining whether the individual should be released to such a program </w:t>
      </w:r>
      <w:r>
        <w:rPr>
          <w:u w:val="single"/>
        </w:rPr>
        <w:t xml:space="preserve">or facility</w:t>
      </w:r>
      <w:r>
        <w:t xml:space="preserve"> for a subsequent incident or arrest under Section 49.02, Penal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