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831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residency requirement to be eligible for public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141.001, Election Code, is amended by adding Subsections (a-1), (a-2), and (a-3)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satisfying the continuous residency requirement of Subsection (a)(5), a person who claims an intent to return to a residence after a temporary absence may establish that intent only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made a reasonable and substantive attempt to effectuate that intent;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legal right and the practical ability to return to the residence.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(a-1) does not apply to a person displaced from the person's residence due to a declared local, state, or national disaster.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with whom an application for a place on a general primary election ballot is filed under Section 172.022 shall, to the extent permitted by law, use Subsections (a) and (a-1) in determining whether a candidate meets the residency requirements for a public elective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candidate in an election held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