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86R2760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residency requirement to be eligible for public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141.001, Election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satisfying the continuous residency requirement of Subsection (a)(5), a person who claims an intent to return to a residence after a temporary absence may establish that intent only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made a reasonable and substantive attempt to effectuate that intent;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legal right and the practical ability to return to the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(a-1) does not apply to a person displaced from the person's residence due to a declared local, state, or national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in an election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