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7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defense to prosecution for the criminal offense of theft of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4, Penal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 defense to prosecution under Subsection (a)(3) that the written rental agreement described by that subsection is a rental-purchase agreement.  For purposes of this subsection, "rental-purchase agreement" means an agreement under which an individual may use personal property for personal, family, or household purposes for an initial rental period and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utomatically renewable with each payment after the initial rental perio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mits the individual to become the owner of the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n offense committed before, on, or after the effective date of this Act.  However, a final conviction for an offense under Section 31.04, Penal Code, that exists on the effective date of this Act remains unaffect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