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 by certain municipalities of leased land located near the shoreline of a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w:t>
      </w:r>
      <w:r>
        <w:rPr>
          <w:u w:val="single"/>
        </w:rPr>
        <w:t xml:space="preserve">, other than a municipality with a population of more than one million that is located primarily in a county with a population of two million or more,</w:t>
      </w:r>
      <w:r>
        <w:t xml:space="preserve"> [</w:t>
      </w:r>
      <w:r>
        <w:rPr>
          <w:strike/>
        </w:rPr>
        <w:t xml:space="preserve">having a population of 825,000 or less and</w:t>
      </w:r>
      <w:r>
        <w:t xml:space="preserve">]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  While land described by this subsection is under lease, the municipality owning the land may not sell the land to any person other than the person leasing the land.  To protect the public health, safety, or welfare and to ensure an adequate municipal water supply, property sold by the municipality under this subsection is not eligible for and the owner is not entitled to the exemption provided by Section 11.142(a), Water Code.  The instrument conveying property under this subsection must include a provision stating that the exemption does not apply to the conveyance.  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837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837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