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86R2594 PMO-D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group benefits advisory committee for the board of trustees of the Employees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1551, Insurance Code, is amended by adding Subchapter K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K.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GROUP BENEFITS ADVISORY COMMITTEE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"committee" means the group benefits advisory committee established by the board of trustees.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COMMITTEE APPOINTMENT.  (a) </w:t>
      </w:r>
      <w:r>
        <w:rPr>
          <w:u w:val="single"/>
        </w:rPr>
        <w:t xml:space="preserve"> </w:t>
      </w:r>
      <w:r>
        <w:rPr>
          <w:u w:val="single"/>
        </w:rPr>
        <w:t xml:space="preserve">The board of trustees shall appoint the committee members.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staff of the board of trustees shall name nominees for appointment after the staff considers applications for committee membership from interested parties. </w:t>
      </w:r>
      <w:r>
        <w:rPr>
          <w:u w:val="single"/>
        </w:rPr>
        <w:t xml:space="preserve"> </w:t>
      </w:r>
      <w:r>
        <w:rPr>
          <w:u w:val="single"/>
        </w:rPr>
        <w:t xml:space="preserve">The board of trustees shall establish the application and nomination process.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COMMITTEE COMPOSITION; TERM.  (a)  The committee is composed of not more than 11 members.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Committee members serve staggered three-year terms.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COMMITTEE MEMBER DIVERSITY; QUALIFICATIONS.  (a)  The board of trustees shall appoint committee members from a diverse cross-section of agencies covered by the group benefits program and other stakeholders as determined by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appointees must meet qualifications and comply with requirements and restrictions established by the board of trustees to retain a position on the committee and participate in committee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WILL MEMBERSHIP.  Committee members serve at the will of the board of trustees and may be removed at any time at the discretion of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The presiding officer of the board of trustees shall appoint a chairperson of the committee from the committee's membership to serve a one-year term.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 OF COMMITTEE.  The committee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advise and consult with the board of trustees on matters concerning all group coverages provided under this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present recommendations to the board regarding other existing or proposed state employee benefits, other than retirement benefits;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cooperate and work with the board in coordinating and correlating the administration of the group benefits program among the various state agencies.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(a) The committee shall have regular meetings and may have special meetings to conduct committee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trustees shall establish the date, time, and location of any meeting under this section and the procedures for convening and conducting committee meetings.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committee is not a governmental body as defined by Chapter 551, Government Code. </w:t>
      </w:r>
      <w:r>
        <w:rPr>
          <w:u w:val="single"/>
        </w:rPr>
        <w:t xml:space="preserve"> </w:t>
      </w:r>
      <w:r>
        <w:rPr>
          <w:u w:val="single"/>
        </w:rPr>
        <w:t xml:space="preserve">The board of trustees may establish notice requirements for any committee meeting.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 MINUTES.  Not less than twice annually, the staff of the board of trustees shall prepare and provide to the board minutes or summaries of committee meetings.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COMMITTEE REPORT.  (a)  At least once annually during a public meeting of the board of trustees, the committee shall present a report of the committee activities, findings, and recommendations.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staff of the board of directors shall assist the committee in preparing the report and presentation.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director may require the committee to present the report required under Subsection (a) more than once a year.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COMMITTEE MEMBER EXPENSES.  The board of trustees may determine by rule the amount and manner of expense reimbursement to be paid to committee members.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CONSTRUCTION WITH OTHER LAW.  To the extent of any conflict between Chapter 2110, Government Code, and a provision of this chapter, this chapter controls.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