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841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rollback tax rate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26.08, Tax Code, is amended by adding Subsections (q) and (r)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This subsection applies only to a school district described by Subsection (n) whose adopted tax rate was approved at an election under this section in the 2006 tax year or any subsequent tax year.  Notwithstanding Subsection (n), for purposes of this section, the rollback tax rate of the school district is the higher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computed under Subsection (n);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highest maintenance and operations tax rate adopted by the district for the 2007 tax year or any subsequent tax year in which the adopted tax rate of the district was approved at an election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current debt rate.</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Subsection (q) applies to a school district only if the district has adopted a tax rate equal to or higher than the rate provided by that subsection for any tax year in the preceding 10 tax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 in law made by this Act applies to the ad valorem tax rate of a school district beginning with the 2019 tax year, except as provided by Subsection (b) of this section.</w:t>
      </w:r>
    </w:p>
    <w:p w:rsidR="003F3435" w:rsidRDefault="0032493E">
      <w:pPr>
        <w:spacing w:line="480" w:lineRule="auto"/>
        <w:ind w:firstLine="720"/>
        <w:jc w:val="both"/>
      </w:pPr>
      <w:r>
        <w:t xml:space="preserve">(b)</w:t>
      </w:r>
      <w:r xml:space="preserve">
        <w:t> </w:t>
      </w:r>
      <w:r xml:space="preserve">
        <w:t> </w:t>
      </w:r>
      <w:r>
        <w:t xml:space="preserve">If the governing body of a school district adopted an ad valorem tax rate for the school district for the 2019 tax year before the effective date of this Act, the change in law made by this Act applies to the ad valorem tax rate of that school district beginning with the 2020 tax year, and the law in effect when the tax rate was adopted applies to the 2019 tax year with respect to that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