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86R6373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842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central database containing information about offenders who have committed certain violent offenses against children or offenses involving family or dating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trial of an offense under </w:t>
      </w:r>
      <w:r>
        <w:rPr>
          <w:u w:val="single"/>
        </w:rPr>
        <w:t xml:space="preserve">Title 5</w:t>
      </w:r>
      <w:r>
        <w:t xml:space="preserve"> [</w:t>
      </w:r>
      <w:r>
        <w:rPr>
          <w:strike/>
        </w:rPr>
        <w:t xml:space="preserve">Section 20.02, 20.03, or 20.04</w:t>
      </w:r>
      <w:r>
        <w:t xml:space="preserve">], Penal Code, or an attempt, conspiracy, or solicitation to commit one of those offenses, the judge shall make an affirmative finding of fact and enter the affirmative finding in the judgment in the case if the judge determines that the victim or intended victim was younger than 17 years of age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411.088(b),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charge for processing an electronic inquiry</w:t>
      </w:r>
      <w:r>
        <w:rPr>
          <w:u w:val="single"/>
        </w:rPr>
        <w:t xml:space="preserve">, made through the use of the Internet,</w:t>
      </w:r>
      <w:r>
        <w:t xml:space="preserve"> for information described as public information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411.1355; or</w:t>
      </w:r>
    </w:p>
    <w:p w:rsidR="003F3435" w:rsidRDefault="0032493E">
      <w:pPr>
        <w:spacing w:line="480" w:lineRule="auto"/>
        <w:ind w:firstLine="1440"/>
        <w:jc w:val="both"/>
      </w:pPr>
      <w:r>
        <w:rPr>
          <w:u w:val="single"/>
        </w:rPr>
        <w:t xml:space="preserve">(2)</w:t>
      </w:r>
      <w:r xml:space="preserve">
        <w:t> </w:t>
      </w:r>
      <w:r xml:space="preserve">
        <w:t> </w:t>
      </w:r>
      <w:r>
        <w:t xml:space="preserve">Article 62.005, Code of Criminal Procedure[</w:t>
      </w:r>
      <w:r>
        <w:rPr>
          <w:strike/>
        </w:rPr>
        <w:t xml:space="preserve">, made through the use of the Internet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411, Government Code, is amended by adding Section 411.1355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411.1355.</w:t>
      </w:r>
      <w:r>
        <w:rPr>
          <w:u w:val="single"/>
        </w:rPr>
        <w:t xml:space="preserve"> </w:t>
      </w:r>
      <w:r>
        <w:rPr>
          <w:u w:val="single"/>
        </w:rPr>
        <w:t xml:space="preserve"> </w:t>
      </w:r>
      <w:r>
        <w:rPr>
          <w:u w:val="single"/>
        </w:rPr>
        <w:t xml:space="preserve">CENTRAL DATABASE OF OFFENDERS WHO HAVE COMMITTED CERTAIN VIOLENT OFFENSES. </w:t>
      </w:r>
      <w:r>
        <w:rPr>
          <w:u w:val="single"/>
        </w:rPr>
        <w:t xml:space="preserve"> </w:t>
      </w:r>
      <w:r>
        <w:rPr>
          <w:u w:val="single"/>
        </w:rPr>
        <w:t xml:space="preserve">(a) </w:t>
      </w:r>
      <w:r>
        <w:rPr>
          <w:u w:val="single"/>
        </w:rPr>
        <w:t xml:space="preserve"> </w:t>
      </w:r>
      <w:r>
        <w:rPr>
          <w:u w:val="single"/>
        </w:rPr>
        <w:t xml:space="preserve">The department shall maintain a computerized central database containing information regarding persons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three or more occasions have been convicted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for which an affirmative finding was made under Article 42.013 or 42.015,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21.16,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combination of offenses described by Paragraph (A) or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were 17 years of age or older on the date at least three of the offenses described by Subdivision (1) were committed.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the database is public information, with the exception of any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person's social security number, driver's license number, or telephone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identify the victim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maintained by the department under this section must contain, to the extent the information is available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each alias used by the person, and the person's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physical description and recent photograph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offenses described by Subsection (a) for which the person was convicted, the date of conviction for each offense, and the punishment prescribed for each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as to whether the person was discharged, placed on community supervision, or released on parole or to mandatory supervision following the conviction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permit a person whose name is included in the database established under this section to petition the department for removal of the person's name from the database, and the department shall remove the person's name from the database in response to the petition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is issued under Chapter 55, Code of Criminal Procedure, with respect to one of the offenses described by Subsection (a), unless the person has three or more other convictions for an offense described by that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seven-year period preceding the date of the petition, the person is not convicted of an offense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Internet website through which a person may search the database described by this section, the department shall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a person may petition the department for removal of the person's name from the database;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circumstances under which the department will grant the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family violence organizations.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consult with a representative of a statewide advocacy organization for issues related to family violence regarding implementation of the database and the information required to be included on the database website under Subsection (e)(3).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central database required by Section 411.1355, Government Code, as added by this Act, must be designed and implemented not later than January 1, 2020, and may only include information concerning persons convicted of at least one offense described by Subsection (a) of that section committed on or after the effective date of this Act. </w:t>
      </w:r>
      <w:r>
        <w:t xml:space="preserve"> </w:t>
      </w:r>
      <w:r>
        <w:t xml:space="preserve">For purposes of this section, an offense was committed on or after the effective date of this Act if each element of the offense occurred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