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86R5767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status and taxation of powdered alcohol as an alcoholic beverage.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1.04(1), Alcoholic Beverage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"Alcoholic beverage" means alcohol, </w:t>
      </w:r>
      <w:r>
        <w:rPr>
          <w:u w:val="single"/>
        </w:rPr>
        <w:t xml:space="preserve">including powdered alcohol,</w:t>
      </w:r>
      <w:r>
        <w:t xml:space="preserve"> or any beverage containing more than one-half of one percent of alcohol by volume, which is capable of use for beverage purposes, either alone or when diluted </w:t>
      </w:r>
      <w:r>
        <w:rPr>
          <w:u w:val="single"/>
        </w:rPr>
        <w:t xml:space="preserve">or reconstituted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201.03,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201.03.</w:t>
      </w:r>
      <w:r xml:space="preserve">
        <w:t> </w:t>
      </w:r>
      <w:r xml:space="preserve">
        <w:t> </w:t>
      </w:r>
      <w:r>
        <w:t xml:space="preserve">TAX ON DISTILLED SPIRITS </w:t>
      </w:r>
      <w:r>
        <w:rPr>
          <w:u w:val="single"/>
        </w:rPr>
        <w:t xml:space="preserve">AND POWDERED ALCOHOL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201.03(a),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tax is imposed on the first sale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distilled spirits at the rate of $2.40 per gallon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powdered alcohol at the rate of $2.40 per gallon based on the amount of liquid suggested to be added by the manufacturer's packaging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