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individual graduation committees and other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w:t>
      </w:r>
      <w:r>
        <w:rPr>
          <w:strike/>
        </w:rPr>
        <w:t xml:space="preserve">as that section existed before September 1, 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Subsection (a-2), Section 39.025, Education Code, as added by Chapter 5 (S.B. 149), Acts of the 84th Legislature, Regular Session, 2015, is redesignated as Subsection (a-5), Section 39.025,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28.02541(g), 28.0258(l), and 28.0259(e), Education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