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86R21259 SMT-F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Holland, Shaheen, Guillen, Harris,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852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et al.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information a municipality may consider in determining the amount of certain building permit and inspection fees.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214, Local Government Code, is amended by adding Section 214.907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214.907.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CERTAIN VALUE-BASED BUILDING PERMIT AND INSPECTION FEES.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determining the amount of a building permit or inspection fee required in connection with the construction or improvement of a residential dwelling, a municipality may not consider: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value of the dwelling;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cost of constructing or improving the dwelling.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not require the disclosure of information related to the value of or cost of constructing or improving a residential dwelling as a condition of obtaining a building permit except as required by the Federal Emergency Management Agency for participation in the National Flood Insurance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214.907(a), Local Government Code, as added by this Act, applies only to a building permit or inspection fee assessed by a municipality on or after the effective date of this Act in connection with the construction or improvement of a residential dwelling.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