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committee on licensing standards for certain facilities licensed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42, Human Resources Code, is amended by adding Section 42.0222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42.0222.</w:t>
      </w:r>
      <w:r>
        <w:rPr>
          <w:u w:val="single"/>
        </w:rPr>
        <w:t xml:space="preserve"> </w:t>
      </w:r>
      <w:r>
        <w:rPr>
          <w:u w:val="single"/>
        </w:rPr>
        <w:t xml:space="preserve"> </w:t>
      </w:r>
      <w:r>
        <w:rPr>
          <w:u w:val="single"/>
        </w:rPr>
        <w:t xml:space="preserve">COMMITTEE ON LICENSING STANDARDS FOR UNACCOMPANIED MINOR FACILITIES. </w:t>
      </w:r>
      <w:r>
        <w:rPr>
          <w:u w:val="single"/>
        </w:rPr>
        <w:t xml:space="preserve"> </w:t>
      </w:r>
      <w:r>
        <w:rPr>
          <w:u w:val="single"/>
        </w:rPr>
        <w:t xml:space="preserve">(a)  The committee on licensing standards for facilities that provide services to unaccompanied minors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 including one member who represents the pediatric medical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 including one member who is an expert in the field of trauma-informed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from the House Human Services Committee appointed by the chair of that committee;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from the Senate Health and Human Services Committee appointed by the chair of that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meet not less than twice in Austin.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shall review and analyze the information provided by the department and committee members and shall make recommendations for policy and statutory changes relating to licensing standards and facility inspections to improve the delivery and quality of care provided by facilities that provide services to unaccompanied minors.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report its findings and recommendations to the department, the commission, and the legislature not later than September 1, 2020.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appropriate appointing authorities shall appoint the members of the committee on licensing standards for unaccompanied minor facilities as provided by Section 42.0222,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